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18484</w:t>
      </w:r>
      <w:bookmarkStart w:id="551" w:name="_GoBack"/>
      <w:bookmarkEnd w:id="551"/>
    </w:p>
    <w:p>
      <w:pPr>
        <w:pStyle w:val="2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IoT NTN TDD mode</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7.28.2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105# meeting, the revised WID on IoT NTN TDD mode [1] has been approved, and several objectives in the WID have RAN4 RRM involvement. In this meeting, we will provide the initial analysis on the RAN4 impact on periodic pattern.</w:t>
      </w:r>
    </w:p>
    <w:p>
      <w:pPr>
        <w:pStyle w:val="76"/>
        <w:rPr>
          <w:lang w:val="en-US"/>
        </w:rPr>
      </w:pPr>
      <w:r>
        <w:rPr>
          <w:lang w:val="en-US"/>
        </w:rPr>
        <w:t>Discussion</w:t>
      </w:r>
    </w:p>
    <w:p>
      <w:pPr>
        <w:rPr>
          <w:rFonts w:hint="default"/>
          <w:lang w:val="en-US" w:eastAsia="zh-CN"/>
        </w:rPr>
      </w:pPr>
      <w:r>
        <w:rPr>
          <w:rFonts w:hint="eastAsia"/>
          <w:lang w:val="en-US" w:eastAsia="zh-CN"/>
        </w:rPr>
        <w:t xml:space="preserve">The work item description can be seen as below: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pPr>
            <w:r>
              <w:t>This work item includes the following objectives:</w:t>
            </w:r>
          </w:p>
          <w:p>
            <w:pPr>
              <w:numPr>
                <w:ilvl w:val="0"/>
                <w:numId w:val="3"/>
              </w:numPr>
              <w:suppressAutoHyphens w:val="0"/>
              <w:overflowPunct/>
              <w:autoSpaceDE/>
              <w:spacing w:after="120"/>
              <w:textAlignment w:val="auto"/>
              <w:rPr>
                <w:highlight w:val="yellow"/>
              </w:rPr>
            </w:pPr>
            <w:r>
              <w:rPr>
                <w:highlight w:val="yellow"/>
              </w:rPr>
              <w:t xml:space="preserve">Study the impact </w:t>
            </w:r>
            <w:r>
              <w:rPr>
                <w:bCs/>
                <w:highlight w:val="yellow"/>
              </w:rPr>
              <w:t>due to the periodic pattern</w:t>
            </w:r>
            <w:r>
              <w:rPr>
                <w:highlight w:val="yellow"/>
              </w:rPr>
              <w:t>, at least on UE downlink synchronization and other aspects (if identified) [RAN1, RAN4]</w:t>
            </w:r>
          </w:p>
          <w:p>
            <w:pPr>
              <w:numPr>
                <w:ilvl w:val="1"/>
                <w:numId w:val="4"/>
              </w:numPr>
              <w:spacing w:after="120"/>
              <w:rPr>
                <w:highlight w:val="yellow"/>
              </w:rPr>
            </w:pPr>
            <w:r>
              <w:rPr>
                <w:highlight w:val="yellow"/>
              </w:rPr>
              <w:t>Checkpoint in RAN#106 for the completion of the study phase. RAN1 start from Oct’24. RAN4 start from Nov’24</w:t>
            </w:r>
          </w:p>
          <w:p>
            <w:pPr>
              <w:numPr>
                <w:ilvl w:val="0"/>
                <w:numId w:val="3"/>
              </w:numPr>
              <w:spacing w:after="120"/>
            </w:pPr>
            <w:r>
              <w:t>Specify a new NB-IoT TDD NTN mode</w:t>
            </w:r>
            <w:r>
              <w:rPr>
                <w:rStyle w:val="84"/>
              </w:rPr>
              <w:t xml:space="preserve"> </w:t>
            </w:r>
            <w:r>
              <w:rPr>
                <w:rStyle w:val="85"/>
              </w:rPr>
              <w:t>based on minimum necessary changes to the NB-IoT NTN FDD frame structure and procedures</w:t>
            </w:r>
            <w:r>
              <w:t>, based on the outcome of the study, including:</w:t>
            </w:r>
          </w:p>
          <w:p>
            <w:pPr>
              <w:numPr>
                <w:ilvl w:val="1"/>
                <w:numId w:val="4"/>
              </w:numPr>
              <w:spacing w:after="120"/>
            </w:pPr>
            <w:r>
              <w:t>Definition, configuration (if needed) and signaling (if needed) of the periodic pattern including confirming the value of N, and associated UE procedures [RAN1, RAN2]</w:t>
            </w:r>
          </w:p>
          <w:p>
            <w:pPr>
              <w:numPr>
                <w:ilvl w:val="1"/>
                <w:numId w:val="4"/>
              </w:numPr>
              <w:spacing w:after="120"/>
            </w:pPr>
            <w:r>
              <w:t>Other necessary impacts on higher layers [RAN2]</w:t>
            </w:r>
          </w:p>
          <w:p>
            <w:pPr>
              <w:numPr>
                <w:ilvl w:val="1"/>
                <w:numId w:val="4"/>
              </w:numPr>
              <w:spacing w:after="120"/>
            </w:pPr>
            <w:r>
              <w:t>RRM and RF core requirements [RAN4]</w:t>
            </w:r>
          </w:p>
          <w:p>
            <w:pPr>
              <w:numPr>
                <w:ilvl w:val="0"/>
                <w:numId w:val="3"/>
              </w:numPr>
              <w:spacing w:after="120"/>
            </w:pPr>
            <w:r>
              <w:t>Specify a new NB-IoT TDD operating NTN band for the MSS allocation spanning 1616-1626.5 MHz for DL and UL, based on the outcome of the study, to be used as example band for this WI [RAN4].</w:t>
            </w:r>
          </w:p>
          <w:p>
            <w:pPr>
              <w:numPr>
                <w:ilvl w:val="1"/>
                <w:numId w:val="4"/>
              </w:numPr>
              <w:spacing w:after="120"/>
            </w:pPr>
            <w:r>
              <w:t>Specify band numbering</w:t>
            </w:r>
          </w:p>
          <w:p>
            <w:pPr>
              <w:numPr>
                <w:ilvl w:val="1"/>
                <w:numId w:val="4"/>
              </w:numPr>
              <w:spacing w:after="120"/>
            </w:pPr>
            <w:r>
              <w:t>Specify SAN and UE RF characteristics</w:t>
            </w:r>
          </w:p>
          <w:p>
            <w:pPr>
              <w:numPr>
                <w:ilvl w:val="1"/>
                <w:numId w:val="4"/>
              </w:numPr>
              <w:spacing w:after="120"/>
            </w:pPr>
            <w:r>
              <w:t>Specify DL and UL channelization.</w:t>
            </w:r>
          </w:p>
          <w:p>
            <w:pPr>
              <w:numPr>
                <w:ilvl w:val="1"/>
                <w:numId w:val="4"/>
              </w:numPr>
              <w:spacing w:after="120"/>
            </w:pPr>
            <w:r>
              <w:rPr>
                <w:rFonts w:hint="cs"/>
              </w:rPr>
              <w:t>S</w:t>
            </w:r>
            <w:r>
              <w:t>pecify channel bandwidth as 200 kHz</w:t>
            </w:r>
          </w:p>
          <w:p>
            <w:pPr>
              <w:numPr>
                <w:ilvl w:val="1"/>
                <w:numId w:val="4"/>
              </w:numPr>
              <w:spacing w:after="120"/>
            </w:pPr>
            <w:r>
              <w:t>Note1: No NTN-NTN coexistence study needed.</w:t>
            </w:r>
          </w:p>
          <w:p>
            <w:pPr>
              <w:numPr>
                <w:ilvl w:val="1"/>
                <w:numId w:val="4"/>
              </w:numPr>
              <w:spacing w:after="120"/>
            </w:pPr>
            <w:r>
              <w:t>Note2: Leverage existing work as much as possible for TN-NTN coexistence of adjacent bands</w:t>
            </w:r>
          </w:p>
          <w:p>
            <w:pPr>
              <w:spacing w:after="120"/>
              <w:ind w:left="1080"/>
            </w:pPr>
          </w:p>
          <w:p>
            <w:pPr>
              <w:spacing w:after="0"/>
              <w:rPr>
                <w:highlight w:val="yellow"/>
              </w:rPr>
            </w:pPr>
            <w:r>
              <w:t>Note3:</w:t>
            </w:r>
            <w:r>
              <w:rPr>
                <w:highlight w:val="yellow"/>
              </w:rPr>
              <w:t xml:space="preserve"> Reuse the existing RAN4 requirements as much as possible (no intention to have any relaxation of the RF emissions requirements)</w:t>
            </w:r>
          </w:p>
          <w:p>
            <w:pPr>
              <w:spacing w:before="120" w:beforeLines="50" w:after="120" w:afterLines="50"/>
              <w:jc w:val="left"/>
              <w:rPr>
                <w:rFonts w:hint="default" w:ascii="Times New Roman" w:hAnsi="Times New Roman" w:eastAsia="宋体" w:cs="Times New Roman"/>
                <w:kern w:val="0"/>
                <w:sz w:val="20"/>
                <w:szCs w:val="20"/>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In this meeting, we will discuss the scenarios and express our views on potential impact to RAN4 requirements towards the above objective based on RAN1</w:t>
      </w:r>
      <w:r>
        <w:rPr>
          <w:rFonts w:hint="default" w:eastAsia="宋体" w:cs="Times New Roman"/>
          <w:sz w:val="22"/>
          <w:lang w:val="en-US" w:eastAsia="zh-CN"/>
        </w:rPr>
        <w:t>’</w:t>
      </w:r>
      <w:r>
        <w:rPr>
          <w:rFonts w:hint="eastAsia" w:eastAsia="宋体" w:cs="Times New Roman"/>
          <w:sz w:val="22"/>
          <w:lang w:val="en-US" w:eastAsia="zh-CN"/>
        </w:rPr>
        <w:t>s discussion.</w:t>
      </w:r>
    </w:p>
    <w:p>
      <w:pPr>
        <w:pStyle w:val="78"/>
        <w:numPr>
          <w:ilvl w:val="1"/>
          <w:numId w:val="0"/>
        </w:numPr>
        <w:bidi w:val="0"/>
        <w:rPr>
          <w:rFonts w:hint="default"/>
          <w:lang w:val="en-US" w:eastAsia="zh-CN"/>
        </w:rPr>
      </w:pPr>
      <w:r>
        <w:rPr>
          <w:rFonts w:hint="eastAsia"/>
          <w:lang w:val="en-US" w:eastAsia="zh-CN"/>
        </w:rPr>
        <w:t>2.1 RRM impact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RAN1, the concrete periodic pattern is still under discussion and the following figure shows us the specific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ascii="Times New Roman" w:hAnsi="Times New Roman" w:cs="Times New Roman"/>
          <w:sz w:val="20"/>
          <w:szCs w:val="20"/>
        </w:rPr>
      </w:pPr>
      <w:r>
        <w:rPr>
          <w:rFonts w:ascii="Times New Roman" w:hAnsi="Times New Roman" w:cs="Times New Roman"/>
          <w:sz w:val="20"/>
          <w:szCs w:val="20"/>
        </w:rPr>
        <w:drawing>
          <wp:inline distT="0" distB="0" distL="0" distR="0">
            <wp:extent cx="4953000" cy="111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953000" cy="1117600"/>
                    </a:xfrm>
                    <a:prstGeom prst="rect">
                      <a:avLst/>
                    </a:prstGeom>
                    <a:noFill/>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Figure 1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find that there are three parts which contains: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Downlink subframe: The number of consecutive DL subframes at the behinning of each DL-UL pattern.</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Uplink subframe: The number of consecutive UL subframesof each DL-UL pattern.</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Guard period: Indicates the downlink to uplink guard period for TDD operation.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RAN1 is discussing the number of downlink/uplink/guard period without any conclusion. In the current WID, it says that the periodic pattern should consist of non-overlapping set of usable contiguous UL subframes and set of usable contiguous DL subframes, and guard periods, which is periodic every N radio frames, with </w:t>
      </w:r>
      <w:r>
        <w:rPr>
          <w:rFonts w:hint="eastAsia" w:ascii="Times New Roman" w:hAnsi="Times New Roman" w:eastAsia="宋体" w:cs="Times New Roman"/>
          <w:sz w:val="20"/>
          <w:szCs w:val="20"/>
          <w:highlight w:val="yellow"/>
          <w:lang w:val="en-US" w:eastAsia="zh-CN"/>
        </w:rPr>
        <w:t>N=9</w:t>
      </w:r>
      <w:r>
        <w:rPr>
          <w:rFonts w:hint="eastAsia" w:ascii="Times New Roman" w:hAnsi="Times New Roman" w:eastAsia="宋体" w:cs="Times New Roman"/>
          <w:sz w:val="20"/>
          <w:szCs w:val="20"/>
          <w:lang w:val="en-US" w:eastAsia="zh-CN"/>
        </w:rPr>
        <w:t xml:space="preserve"> as baseline. Thus, the periodicity is 9 and the frame structure will be impacted. First of we can see the FDD mode frame structure as below [2]: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pPr>
      <w:r>
        <w:drawing>
          <wp:inline distT="0" distB="0" distL="0" distR="0">
            <wp:extent cx="6357620" cy="641985"/>
            <wp:effectExtent l="0" t="0" r="12700" b="13335"/>
            <wp:docPr id="34497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977905"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474407" cy="654119"/>
                    </a:xfrm>
                    <a:prstGeom prst="rect">
                      <a:avLst/>
                    </a:prstGeom>
                    <a:noFill/>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eastAsia" w:eastAsia="宋体"/>
          <w:lang w:val="en-US" w:eastAsia="zh-CN"/>
        </w:rPr>
      </w:pPr>
      <w:r>
        <w:rPr>
          <w:rFonts w:hint="eastAsia" w:eastAsia="宋体"/>
          <w:lang w:val="en-US" w:eastAsia="zh-CN"/>
        </w:rPr>
        <w:t>Figure 2 FDD mode frame structure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lang w:val="en-US" w:eastAsia="zh-CN"/>
        </w:rPr>
      </w:pPr>
      <w:r>
        <w:rPr>
          <w:rFonts w:hint="eastAsia" w:eastAsia="宋体"/>
          <w:lang w:val="en-US" w:eastAsia="zh-CN"/>
        </w:rPr>
        <w:t>Based on the N=9 periodic pattern, the TDD mode frame structure can be seen as below [3]: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lang w:val="fr-FR" w:eastAsia="fr-FR"/>
        </w:rPr>
      </w:pPr>
      <w:r>
        <w:rPr>
          <w:rFonts w:hint="eastAsia" w:eastAsia="宋体"/>
          <w:lang w:val="en-US" w:eastAsia="zh-CN"/>
        </w:rPr>
        <w:t xml:space="preserve"> </w:t>
      </w:r>
      <w:r>
        <w:rPr>
          <w:lang w:val="fr-FR" w:eastAsia="fr-FR"/>
        </w:rPr>
        <w:drawing>
          <wp:inline distT="0" distB="0" distL="0" distR="0">
            <wp:extent cx="5760085" cy="1366520"/>
            <wp:effectExtent l="0" t="0" r="635"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pic:cNvPicPr>
                  </pic:nvPicPr>
                  <pic:blipFill>
                    <a:blip r:embed="rId8"/>
                    <a:stretch>
                      <a:fillRect/>
                    </a:stretch>
                  </pic:blipFill>
                  <pic:spPr>
                    <a:xfrm>
                      <a:off x="0" y="0"/>
                      <a:ext cx="5760085" cy="1366520"/>
                    </a:xfrm>
                    <a:prstGeom prst="rect">
                      <a:avLst/>
                    </a:prstGeom>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eastAsia" w:eastAsia="宋体"/>
          <w:lang w:val="en-US" w:eastAsia="zh-CN"/>
        </w:rPr>
      </w:pPr>
      <w:r>
        <w:rPr>
          <w:rFonts w:hint="eastAsia" w:eastAsia="宋体"/>
          <w:lang w:val="en-US" w:eastAsia="zh-CN"/>
        </w:rPr>
        <w:t>Figure 3 TDD mode frame structure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lang w:val="en-US" w:eastAsia="zh-CN"/>
        </w:rPr>
        <w:t>We find that in legacy FDD mode, the NPSS is sent in 6</w:t>
      </w:r>
      <w:r>
        <w:rPr>
          <w:rFonts w:hint="eastAsia"/>
          <w:vertAlign w:val="superscript"/>
          <w:lang w:val="en-US" w:eastAsia="zh-CN"/>
        </w:rPr>
        <w:t>th</w:t>
      </w:r>
      <w:r>
        <w:rPr>
          <w:rFonts w:hint="eastAsia"/>
          <w:lang w:val="en-US" w:eastAsia="zh-CN"/>
        </w:rPr>
        <w:t xml:space="preserve"> subframe of every radio frame, while NSSS is sent in the 10</w:t>
      </w:r>
      <w:r>
        <w:rPr>
          <w:rFonts w:hint="eastAsia"/>
          <w:vertAlign w:val="superscript"/>
          <w:lang w:val="en-US" w:eastAsia="zh-CN"/>
        </w:rPr>
        <w:t>th</w:t>
      </w:r>
      <w:r>
        <w:rPr>
          <w:rFonts w:hint="eastAsia"/>
          <w:lang w:val="en-US" w:eastAsia="zh-CN"/>
        </w:rPr>
        <w:t xml:space="preserve"> subframe every other radio frames. However, we can see figure 3 that the periodicity of the NPSS and NSS will also increase, at least extend 9 times than legacy FDD mode. Then the UE can only search the NPSS/NSSS with a larger period than legacy FDD, the following table can be seen: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default"/>
          <w:b/>
          <w:bCs/>
          <w:lang w:val="en-US" w:eastAsia="zh-CN"/>
        </w:rPr>
      </w:pPr>
      <w:r>
        <w:rPr>
          <w:rFonts w:hint="eastAsia"/>
          <w:b/>
          <w:bCs/>
          <w:lang w:val="en-US" w:eastAsia="zh-CN"/>
        </w:rPr>
        <w:t>Table 1 The detection time for NPSS/NSSS/NPBCH (at least N=9)</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6"/>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center"/>
              <w:textAlignment w:val="baseline"/>
              <w:rPr>
                <w:rFonts w:hint="default"/>
                <w:vertAlign w:val="baseline"/>
                <w:lang w:val="en-US" w:eastAsia="zh-CN"/>
              </w:rPr>
            </w:pPr>
            <w:r>
              <w:rPr>
                <w:rFonts w:hint="eastAsia"/>
                <w:vertAlign w:val="baseline"/>
                <w:lang w:val="en-US" w:eastAsia="zh-CN"/>
              </w:rPr>
              <w:t>Channel</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center"/>
              <w:textAlignment w:val="baseline"/>
              <w:rPr>
                <w:rFonts w:hint="default"/>
                <w:vertAlign w:val="baseline"/>
                <w:lang w:val="en-US" w:eastAsia="zh-CN"/>
              </w:rPr>
            </w:pPr>
            <w:r>
              <w:rPr>
                <w:rFonts w:hint="eastAsia"/>
                <w:vertAlign w:val="baseline"/>
                <w:lang w:val="en-US" w:eastAsia="zh-CN"/>
              </w:rPr>
              <w:t>Legacy NB-IoT NTN</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center"/>
              <w:textAlignment w:val="baseline"/>
              <w:rPr>
                <w:rFonts w:hint="default"/>
                <w:vertAlign w:val="baseline"/>
                <w:lang w:val="en-US" w:eastAsia="zh-CN"/>
              </w:rPr>
            </w:pPr>
            <w:r>
              <w:rPr>
                <w:rFonts w:hint="eastAsia"/>
                <w:vertAlign w:val="baseline"/>
                <w:lang w:val="en-US" w:eastAsia="zh-CN"/>
              </w:rPr>
              <w:t>TDD NB-IoT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NPSS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10ms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90ms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NSSS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20ms</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Once every 180ms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NPBCH</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64 transmissions in 640ms TTI</w:t>
            </w:r>
          </w:p>
        </w:tc>
        <w:tc>
          <w:tcPr>
            <w:tcW w:w="3286"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r>
              <w:rPr>
                <w:rFonts w:hint="eastAsia"/>
                <w:vertAlign w:val="baseline"/>
                <w:lang w:val="en-US" w:eastAsia="zh-CN"/>
              </w:rPr>
              <w:t>7 or 8 transmissions in 640ms TTI</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lang w:val="en-US" w:eastAsia="zh-CN"/>
        </w:rPr>
        <w:t>Actually, other working groups are still discussing the concrete frame structure for IoT NTN TDD mode and based on the latest discussion from RAN1, some RRM measurement requirements will be impacted by extended NPSS and NSSS detection time. To my understanding, the extension of periodicity for NPSS/NSS will increase the latency for performing RRM measurement. The impacted RRM requirements are following:</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lang w:val="en-US" w:eastAsia="zh-CN"/>
        </w:rPr>
      </w:pPr>
      <w:r>
        <w:rPr>
          <w:rFonts w:hint="eastAsia"/>
          <w:lang w:val="en-US" w:eastAsia="zh-CN"/>
        </w:rPr>
        <w:t>Cell re-selection (T</w:t>
      </w:r>
      <w:r>
        <w:rPr>
          <w:rFonts w:hint="eastAsia"/>
          <w:vertAlign w:val="subscript"/>
          <w:lang w:val="en-US" w:eastAsia="zh-CN"/>
        </w:rPr>
        <w:t>detect</w:t>
      </w:r>
      <w:r>
        <w:rPr>
          <w:rFonts w:hint="eastAsia"/>
          <w:lang w:val="en-US" w:eastAsia="zh-CN"/>
        </w:rPr>
        <w:t>, T</w:t>
      </w:r>
      <w:r>
        <w:rPr>
          <w:rFonts w:hint="eastAsia"/>
          <w:vertAlign w:val="subscript"/>
          <w:lang w:val="en-US" w:eastAsia="zh-CN"/>
        </w:rPr>
        <w:t>evaluation</w:t>
      </w:r>
      <w:r>
        <w:rPr>
          <w:rFonts w:hint="eastAsia"/>
          <w:lang w:val="en-US" w:eastAsia="zh-CN"/>
        </w:rPr>
        <w:t>,T</w:t>
      </w:r>
      <w:r>
        <w:rPr>
          <w:rFonts w:hint="eastAsia"/>
          <w:vertAlign w:val="subscript"/>
          <w:lang w:val="en-US" w:eastAsia="zh-CN"/>
        </w:rPr>
        <w:t>measure</w:t>
      </w:r>
      <w:r>
        <w:rPr>
          <w:rFonts w:hint="eastAsia"/>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lang w:val="en-US" w:eastAsia="zh-CN"/>
        </w:rPr>
      </w:pPr>
      <w:r>
        <w:rPr>
          <w:rFonts w:hint="eastAsia"/>
          <w:lang w:val="en-US" w:eastAsia="zh-CN"/>
        </w:rPr>
        <w:t>Handover (T</w:t>
      </w:r>
      <w:r>
        <w:rPr>
          <w:rFonts w:hint="eastAsia"/>
          <w:vertAlign w:val="subscript"/>
          <w:lang w:val="en-US" w:eastAsia="zh-CN"/>
        </w:rPr>
        <w:t>interruption</w:t>
      </w:r>
      <w:r>
        <w:rPr>
          <w:rFonts w:hint="eastAsia"/>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lang w:val="en-US" w:eastAsia="zh-CN"/>
        </w:rPr>
      </w:pPr>
      <w:r>
        <w:rPr>
          <w:rFonts w:hint="eastAsia"/>
          <w:lang w:val="en-US" w:eastAsia="zh-CN"/>
        </w:rPr>
        <w:t>RRC re-establishment (T</w:t>
      </w:r>
      <w:r>
        <w:rPr>
          <w:rFonts w:hint="eastAsia"/>
          <w:vertAlign w:val="subscript"/>
          <w:lang w:val="en-US" w:eastAsia="zh-CN"/>
        </w:rPr>
        <w:t>search</w:t>
      </w:r>
      <w:r>
        <w:rPr>
          <w:rFonts w:hint="eastAsia"/>
          <w:lang w:val="en-US" w:eastAsia="zh-CN"/>
        </w:rPr>
        <w:t>, T</w:t>
      </w:r>
      <w:r>
        <w:rPr>
          <w:rFonts w:hint="eastAsia"/>
          <w:vertAlign w:val="subscript"/>
          <w:lang w:val="en-US" w:eastAsia="zh-CN"/>
        </w:rPr>
        <w:t>SI</w:t>
      </w:r>
      <w:r>
        <w:rPr>
          <w:rFonts w:hint="eastAsia"/>
          <w:lang w:val="en-US" w:eastAsia="zh-CN"/>
        </w:rPr>
        <w:t>, T</w:t>
      </w:r>
      <w:r>
        <w:rPr>
          <w:rFonts w:hint="eastAsia"/>
          <w:vertAlign w:val="subscript"/>
          <w:lang w:val="en-US" w:eastAsia="zh-CN"/>
        </w:rPr>
        <w:t>PRACH</w:t>
      </w:r>
      <w:r>
        <w:rPr>
          <w:rFonts w:hint="eastAsia"/>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lang w:val="en-US" w:eastAsia="zh-CN"/>
        </w:rPr>
      </w:pPr>
      <w:r>
        <w:rPr>
          <w:rFonts w:hint="eastAsia"/>
          <w:lang w:val="en-US" w:eastAsia="zh-CN"/>
        </w:rPr>
        <w:t>UE measurements procedure in RRC Connected state;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lang w:val="en-US" w:eastAsia="zh-CN"/>
        </w:rPr>
      </w:pPr>
      <w:r>
        <w:rPr>
          <w:rFonts w:hint="eastAsia"/>
          <w:lang w:val="en-US" w:eastAsia="zh-CN"/>
        </w:rPr>
        <w:t>etc.</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1: The periodicity of periodic pattern at least equals 9, and the periodicity of NPSS/NSS/NPBCH are also extended.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1: RAN4 shall firstly study the requirements which may be impacted as below:</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Cell re-selection (T</w:t>
      </w:r>
      <w:r>
        <w:rPr>
          <w:rFonts w:hint="eastAsia"/>
          <w:b/>
          <w:bCs/>
          <w:vertAlign w:val="subscript"/>
          <w:lang w:val="en-US" w:eastAsia="zh-CN"/>
        </w:rPr>
        <w:t>detect</w:t>
      </w:r>
      <w:r>
        <w:rPr>
          <w:rFonts w:hint="eastAsia"/>
          <w:b/>
          <w:bCs/>
          <w:lang w:val="en-US" w:eastAsia="zh-CN"/>
        </w:rPr>
        <w:t>, T</w:t>
      </w:r>
      <w:r>
        <w:rPr>
          <w:rFonts w:hint="eastAsia"/>
          <w:b/>
          <w:bCs/>
          <w:vertAlign w:val="subscript"/>
          <w:lang w:val="en-US" w:eastAsia="zh-CN"/>
        </w:rPr>
        <w:t>evaluation</w:t>
      </w:r>
      <w:r>
        <w:rPr>
          <w:rFonts w:hint="eastAsia"/>
          <w:b/>
          <w:bCs/>
          <w:lang w:val="en-US" w:eastAsia="zh-CN"/>
        </w:rPr>
        <w:t>,T</w:t>
      </w:r>
      <w:r>
        <w:rPr>
          <w:rFonts w:hint="eastAsia"/>
          <w:b/>
          <w:bCs/>
          <w:vertAlign w:val="subscript"/>
          <w:lang w:val="en-US" w:eastAsia="zh-CN"/>
        </w:rPr>
        <w:t>measure</w:t>
      </w:r>
      <w:r>
        <w:rPr>
          <w:rFonts w:hint="eastAsia"/>
          <w:b/>
          <w:bCs/>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Handover (T</w:t>
      </w:r>
      <w:r>
        <w:rPr>
          <w:rFonts w:hint="eastAsia"/>
          <w:b/>
          <w:bCs/>
          <w:vertAlign w:val="subscript"/>
          <w:lang w:val="en-US" w:eastAsia="zh-CN"/>
        </w:rPr>
        <w:t>interruption</w:t>
      </w:r>
      <w:r>
        <w:rPr>
          <w:rFonts w:hint="eastAsia"/>
          <w:b/>
          <w:bCs/>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RRC re-establishment (T</w:t>
      </w:r>
      <w:r>
        <w:rPr>
          <w:rFonts w:hint="eastAsia"/>
          <w:b/>
          <w:bCs/>
          <w:vertAlign w:val="subscript"/>
          <w:lang w:val="en-US" w:eastAsia="zh-CN"/>
        </w:rPr>
        <w:t>search</w:t>
      </w:r>
      <w:r>
        <w:rPr>
          <w:rFonts w:hint="eastAsia"/>
          <w:b/>
          <w:bCs/>
          <w:lang w:val="en-US" w:eastAsia="zh-CN"/>
        </w:rPr>
        <w:t>, T</w:t>
      </w:r>
      <w:r>
        <w:rPr>
          <w:rFonts w:hint="eastAsia"/>
          <w:b/>
          <w:bCs/>
          <w:vertAlign w:val="subscript"/>
          <w:lang w:val="en-US" w:eastAsia="zh-CN"/>
        </w:rPr>
        <w:t>SI</w:t>
      </w:r>
      <w:r>
        <w:rPr>
          <w:rFonts w:hint="eastAsia"/>
          <w:b/>
          <w:bCs/>
          <w:lang w:val="en-US" w:eastAsia="zh-CN"/>
        </w:rPr>
        <w:t>, T</w:t>
      </w:r>
      <w:r>
        <w:rPr>
          <w:rFonts w:hint="eastAsia"/>
          <w:b/>
          <w:bCs/>
          <w:vertAlign w:val="subscript"/>
          <w:lang w:val="en-US" w:eastAsia="zh-CN"/>
        </w:rPr>
        <w:t>PRACH</w:t>
      </w:r>
      <w:r>
        <w:rPr>
          <w:rFonts w:hint="eastAsia"/>
          <w:b/>
          <w:bCs/>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UE measurements procedure in RRC Connected state;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b/>
          <w:bCs/>
          <w:lang w:val="en-US" w:eastAsia="zh-CN"/>
        </w:rPr>
      </w:pPr>
      <w:r>
        <w:rPr>
          <w:rFonts w:hint="eastAsia"/>
          <w:b/>
          <w:bCs/>
          <w:lang w:val="en-US" w:eastAsia="zh-CN"/>
        </w:rPr>
        <w:t>etc.</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2: RAN4 to wait for more progress from other WGs on periodic pattern to discuss the RRM impacts.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lang w:val="en-US" w:eastAsia="zh-CN"/>
        </w:rPr>
        <w:t>To my understanding, the next impact will be timing requirements. We know that guard period aim to prevent interference between UL and DL, thus we should consider the large propagation delay in NTN scenario. We can see the following from TR 38.811: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pPr>
            <w:r>
              <w:t xml:space="preserve">When considering TDD mode, a guard time is necessary to prevent UE to simultaneously Transmit and reception. </w:t>
            </w:r>
            <w:r>
              <w:rPr>
                <w:highlight w:val="cyan"/>
              </w:rPr>
              <w:t>This guard time directly depends on the propagation delay between UE and gNB</w:t>
            </w:r>
            <w:r>
              <w:t>. This guard time will directly impact the useful throughput and hence the spectral efficiency.</w:t>
            </w:r>
          </w:p>
          <w:p>
            <w:pPr>
              <w:jc w:val="both"/>
              <w:rPr>
                <w:rFonts w:hint="eastAsia"/>
                <w:vertAlign w:val="baseline"/>
                <w:lang w:val="en-US" w:eastAsia="zh-CN"/>
              </w:rPr>
            </w:pPr>
            <w:r>
              <w:rPr>
                <w:highlight w:val="cyan"/>
              </w:rPr>
              <w:t>When considering Non-Terrestrial networks, this guard time should commensurate the round trip delay</w:t>
            </w:r>
            <w: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lang w:val="en-US" w:eastAsia="zh-CN"/>
        </w:rPr>
        <w:t>In the worst case, the guard period can be as large as 12.89ms for LWO-600km and 20.89ms for LEO-1200km to prevent the overlapping between UL and DL considering the potential propagation delay on the service link. Thus, the large TA exists in IoT NTN TDD mode.  We shall analyze whether the timing requirements will be impacted especially T</w:t>
      </w:r>
      <w:r>
        <w:rPr>
          <w:rFonts w:hint="eastAsia"/>
          <w:vertAlign w:val="subscript"/>
          <w:lang w:val="en-US" w:eastAsia="zh-CN"/>
        </w:rPr>
        <w:t>p</w:t>
      </w:r>
      <w:r>
        <w:rPr>
          <w:rFonts w:hint="eastAsia"/>
          <w:lang w:val="en-US" w:eastAsia="zh-CN"/>
        </w:rPr>
        <w:t xml:space="preserve"> and T</w:t>
      </w:r>
      <w:r>
        <w:rPr>
          <w:rFonts w:hint="eastAsia"/>
          <w:vertAlign w:val="subscript"/>
          <w:lang w:val="en-US" w:eastAsia="zh-CN"/>
        </w:rPr>
        <w:t>q</w:t>
      </w:r>
      <w:r>
        <w:rPr>
          <w:rFonts w:hint="eastAsia"/>
          <w:lang w:val="en-US" w:eastAsia="zh-CN"/>
        </w:rPr>
        <w:t>.  We can see the following contents in current spec:</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
            </w:pPr>
            <w:r>
              <w:t>7.20A</w:t>
            </w:r>
            <w:r>
              <w:tab/>
            </w:r>
            <w:r>
              <w:t>UE transmit timing for NB-IoT for Satellite Access</w:t>
            </w:r>
          </w:p>
          <w:p>
            <w:pPr>
              <w:pStyle w:val="51"/>
            </w:pPr>
            <w:r>
              <w:t>1)</w:t>
            </w:r>
            <w:r>
              <w:tab/>
            </w:r>
            <w:r>
              <w:t xml:space="preserve">The maximum amount of the magnitude of the timing change, </w:t>
            </w:r>
            <w:r>
              <w:rPr>
                <w:highlight w:val="cyan"/>
              </w:rPr>
              <w:t xml:space="preserve">apart from a change of </w:t>
            </w:r>
            <m:oMath>
              <m:sSub>
                <m:sSubPr>
                  <m:ctrlPr>
                    <w:rPr>
                      <w:rFonts w:ascii="Cambria Math" w:hAnsi="Cambria Math"/>
                      <w:i/>
                      <w:highlight w:val="cyan"/>
                    </w:rPr>
                  </m:ctrlPr>
                </m:sSubPr>
                <m:e>
                  <m:r>
                    <m:rPr/>
                    <w:rPr>
                      <w:rFonts w:ascii="Cambria Math" w:hAnsi="Cambria Math"/>
                      <w:highlight w:val="cyan"/>
                    </w:rPr>
                    <m:t>N</m:t>
                  </m:r>
                  <m:ctrlPr>
                    <w:rPr>
                      <w:rFonts w:ascii="Cambria Math" w:hAnsi="Cambria Math"/>
                      <w:i/>
                      <w:highlight w:val="cyan"/>
                    </w:rPr>
                  </m:ctrlPr>
                </m:e>
                <m:sub>
                  <m:r>
                    <m:rPr/>
                    <w:rPr>
                      <w:rFonts w:ascii="Cambria Math" w:hAnsi="Cambria Math"/>
                      <w:highlight w:val="cyan"/>
                    </w:rPr>
                    <m:t>TA, UE−specific</m:t>
                  </m:r>
                  <m:ctrlPr>
                    <w:rPr>
                      <w:rFonts w:ascii="Cambria Math" w:hAnsi="Cambria Math"/>
                      <w:i/>
                      <w:highlight w:val="cyan"/>
                    </w:rPr>
                  </m:ctrlPr>
                </m:sub>
              </m:sSub>
            </m:oMath>
            <w:r>
              <w:rPr>
                <w:highlight w:val="cyan"/>
              </w:rPr>
              <w:t xml:space="preserve"> due to satellite position update </w:t>
            </w:r>
            <w:r>
              <w:t xml:space="preserve">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oMath>
            <w:r>
              <w:t xml:space="preserve"> between the previous transmission and the current transmission, in one adjustment shall be 58.33*T</w:t>
            </w:r>
            <w:r>
              <w:rPr>
                <w:vertAlign w:val="subscript"/>
              </w:rPr>
              <w:t>S</w:t>
            </w:r>
            <w:r>
              <w:t xml:space="preserve"> seconds.</w:t>
            </w:r>
          </w:p>
          <w:p>
            <w:pPr>
              <w:pStyle w:val="51"/>
            </w:pPr>
            <w:r>
              <w:t>2)</w:t>
            </w:r>
            <w:r>
              <w:tab/>
            </w:r>
            <w:r>
              <w:t xml:space="preserve">The minimum aggregate adjustment rate, </w:t>
            </w:r>
            <w:r>
              <w:rPr>
                <w:highlight w:val="cyan"/>
              </w:rPr>
              <w:t xml:space="preserve">apart from a change of </w:t>
            </w:r>
            <m:oMath>
              <m:sSub>
                <m:sSubPr>
                  <m:ctrlPr>
                    <w:rPr>
                      <w:rFonts w:ascii="Cambria Math" w:hAnsi="Cambria Math"/>
                      <w:i/>
                      <w:highlight w:val="cyan"/>
                    </w:rPr>
                  </m:ctrlPr>
                </m:sSubPr>
                <m:e>
                  <m:r>
                    <m:rPr/>
                    <w:rPr>
                      <w:rFonts w:ascii="Cambria Math" w:hAnsi="Cambria Math"/>
                      <w:highlight w:val="cyan"/>
                    </w:rPr>
                    <m:t>N</m:t>
                  </m:r>
                  <m:ctrlPr>
                    <w:rPr>
                      <w:rFonts w:ascii="Cambria Math" w:hAnsi="Cambria Math"/>
                      <w:i/>
                      <w:highlight w:val="cyan"/>
                    </w:rPr>
                  </m:ctrlPr>
                </m:e>
                <m:sub>
                  <m:r>
                    <m:rPr/>
                    <w:rPr>
                      <w:rFonts w:ascii="Cambria Math" w:hAnsi="Cambria Math"/>
                      <w:highlight w:val="cyan"/>
                    </w:rPr>
                    <m:t>TA, UE−specific</m:t>
                  </m:r>
                  <m:ctrlPr>
                    <w:rPr>
                      <w:rFonts w:ascii="Cambria Math" w:hAnsi="Cambria Math"/>
                      <w:i/>
                      <w:highlight w:val="cyan"/>
                    </w:rPr>
                  </m:ctrlPr>
                </m:sub>
              </m:sSub>
            </m:oMath>
            <w:r>
              <w:rPr>
                <w:highlight w:val="cyan"/>
              </w:rPr>
              <w:t xml:space="preserve"> due to satellite position update</w:t>
            </w:r>
            <w:r>
              <w:t xml:space="preserve">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oMath>
            <w:r>
              <w:t xml:space="preserve"> between the previous transmission and the current transmission, shall be 7*T</w:t>
            </w:r>
            <w:r>
              <w:rPr>
                <w:vertAlign w:val="subscript"/>
              </w:rPr>
              <w:t>S</w:t>
            </w:r>
            <w:r>
              <w:t xml:space="preserve"> per 1second.</w:t>
            </w:r>
          </w:p>
          <w:p>
            <w:pPr>
              <w:pStyle w:val="51"/>
            </w:pPr>
            <w:r>
              <w:t>3)</w:t>
            </w:r>
            <w:r>
              <w:tab/>
            </w:r>
            <w:r>
              <w:t xml:space="preserve">The maximum aggregate adjustment rate, </w:t>
            </w:r>
            <w:r>
              <w:rPr>
                <w:highlight w:val="cyan"/>
              </w:rPr>
              <w:t xml:space="preserve">apart from a change of </w:t>
            </w:r>
            <m:oMath>
              <m:sSub>
                <m:sSubPr>
                  <m:ctrlPr>
                    <w:rPr>
                      <w:rFonts w:ascii="Cambria Math" w:hAnsi="Cambria Math"/>
                      <w:i/>
                      <w:highlight w:val="cyan"/>
                    </w:rPr>
                  </m:ctrlPr>
                </m:sSubPr>
                <m:e>
                  <m:r>
                    <m:rPr/>
                    <w:rPr>
                      <w:rFonts w:ascii="Cambria Math" w:hAnsi="Cambria Math"/>
                      <w:highlight w:val="cyan"/>
                    </w:rPr>
                    <m:t>N</m:t>
                  </m:r>
                  <m:ctrlPr>
                    <w:rPr>
                      <w:rFonts w:ascii="Cambria Math" w:hAnsi="Cambria Math"/>
                      <w:i/>
                      <w:highlight w:val="cyan"/>
                    </w:rPr>
                  </m:ctrlPr>
                </m:e>
                <m:sub>
                  <m:r>
                    <m:rPr/>
                    <w:rPr>
                      <w:rFonts w:ascii="Cambria Math" w:hAnsi="Cambria Math"/>
                      <w:highlight w:val="cyan"/>
                    </w:rPr>
                    <m:t>TA, UE−specific</m:t>
                  </m:r>
                  <m:ctrlPr>
                    <w:rPr>
                      <w:rFonts w:ascii="Cambria Math" w:hAnsi="Cambria Math"/>
                      <w:i/>
                      <w:highlight w:val="cyan"/>
                    </w:rPr>
                  </m:ctrlPr>
                </m:sub>
              </m:sSub>
            </m:oMath>
            <w:r>
              <w:rPr>
                <w:highlight w:val="cyan"/>
              </w:rPr>
              <w:t xml:space="preserve"> due to satellite position update </w:t>
            </w:r>
            <w:r>
              <w:t xml:space="preserve">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oMath>
            <w:r>
              <w:t xml:space="preserve"> between the previous transmission and the current transmission, shall be 58.33*T</w:t>
            </w:r>
            <w:r>
              <w:rPr>
                <w:vertAlign w:val="subscript"/>
              </w:rPr>
              <w:t>S</w:t>
            </w:r>
            <w:r>
              <w:t xml:space="preserve"> per 200ms.</w:t>
            </w:r>
          </w:p>
          <w:p>
            <w:pPr>
              <w:pStyle w:val="3"/>
            </w:pPr>
            <w:r>
              <w:t>7.24A</w:t>
            </w:r>
            <w:r>
              <w:tab/>
            </w:r>
            <w:r>
              <w:t>UE transmit timing for Category M1 for Satellite Access</w:t>
            </w:r>
          </w:p>
          <w:p>
            <w:pPr>
              <w:pStyle w:val="51"/>
            </w:pPr>
            <w:r>
              <w:t>1)</w:t>
            </w:r>
            <w:r>
              <w:tab/>
            </w:r>
            <w:r>
              <w:t>The maximum amount of the magnitude of the timing change,</w:t>
            </w:r>
            <w:r>
              <w:rPr>
                <w:rFonts w:eastAsia="宋体"/>
              </w:rPr>
              <w:t xml:space="preserve"> apart from a change of </w:t>
            </w:r>
            <m:oMath>
              <m:sSubSup>
                <m:sSubSupPr>
                  <m:ctrlPr>
                    <w:rPr>
                      <w:rFonts w:ascii="Cambria Math" w:hAnsi="Cambria Math" w:eastAsia="等线"/>
                    </w:rPr>
                  </m:ctrlPr>
                </m:sSubSupPr>
                <m:e>
                  <m:r>
                    <m:rPr>
                      <m:sty m:val="p"/>
                    </m:rPr>
                    <w:rPr>
                      <w:rFonts w:ascii="Cambria Math" w:hAnsi="Cambria Math" w:eastAsia="等线"/>
                    </w:rPr>
                    <m:t>N</m:t>
                  </m:r>
                  <m:ctrlPr>
                    <w:rPr>
                      <w:rFonts w:ascii="Cambria Math" w:hAnsi="Cambria Math" w:eastAsia="等线"/>
                    </w:rPr>
                  </m:ctrlPr>
                </m:e>
                <m:sub>
                  <m:r>
                    <m:rPr>
                      <m:nor/>
                      <m:sty m:val="p"/>
                    </m:rPr>
                    <w:rPr>
                      <w:rFonts w:eastAsia="等线"/>
                      <w:b w:val="0"/>
                      <w:i w:val="0"/>
                    </w:rPr>
                    <m:t>TA,adj</m:t>
                  </m:r>
                  <m:ctrlPr>
                    <w:rPr>
                      <w:rFonts w:ascii="Cambria Math" w:hAnsi="Cambria Math" w:eastAsia="等线"/>
                    </w:rPr>
                  </m:ctrlPr>
                </m:sub>
                <m:sup>
                  <m:r>
                    <m:rPr>
                      <m:nor/>
                      <m:sty m:val="p"/>
                    </m:rPr>
                    <w:rPr>
                      <w:rFonts w:eastAsia="等线"/>
                      <w:b w:val="0"/>
                      <w:i w:val="0"/>
                    </w:rPr>
                    <m:t>UE</m:t>
                  </m:r>
                  <m:ctrlPr>
                    <w:rPr>
                      <w:rFonts w:ascii="Cambria Math" w:hAnsi="Cambria Math" w:eastAsia="等线"/>
                    </w:rPr>
                  </m:ctrlPr>
                </m:sup>
              </m:sSubSup>
            </m:oMath>
            <w:r>
              <w:rPr>
                <w:rFonts w:eastAsia="宋体"/>
              </w:rPr>
              <w:t xml:space="preserve"> due to satellite position update and </w:t>
            </w:r>
            <m:oMath>
              <m:sSubSup>
                <m:sSubSupPr>
                  <m:ctrlPr>
                    <w:rPr>
                      <w:rFonts w:ascii="Cambria Math" w:hAnsi="Cambria Math" w:eastAsia="等线"/>
                    </w:rPr>
                  </m:ctrlPr>
                </m:sSubSupPr>
                <m:e>
                  <m:r>
                    <m:rPr>
                      <m:sty m:val="p"/>
                    </m:rPr>
                    <w:rPr>
                      <w:rFonts w:ascii="Cambria Math" w:hAnsi="Cambria Math" w:eastAsia="等线"/>
                    </w:rPr>
                    <m:t>N</m:t>
                  </m:r>
                  <m:ctrlPr>
                    <w:rPr>
                      <w:rFonts w:ascii="Cambria Math" w:hAnsi="Cambria Math" w:eastAsia="等线"/>
                    </w:rPr>
                  </m:ctrlPr>
                </m:e>
                <m:sub>
                  <m:r>
                    <m:rPr>
                      <m:nor/>
                      <m:sty m:val="p"/>
                    </m:rPr>
                    <w:rPr>
                      <w:rFonts w:eastAsia="等线"/>
                      <w:b w:val="0"/>
                      <w:i w:val="0"/>
                    </w:rPr>
                    <m:t>TA,adj</m:t>
                  </m:r>
                  <m:ctrlPr>
                    <w:rPr>
                      <w:rFonts w:ascii="Cambria Math" w:hAnsi="Cambria Math" w:eastAsia="等线"/>
                    </w:rPr>
                  </m:ctrlPr>
                </m:sub>
                <m:sup>
                  <m:r>
                    <m:rPr>
                      <m:nor/>
                      <m:sty m:val="p"/>
                    </m:rPr>
                    <w:rPr>
                      <w:rFonts w:eastAsia="等线"/>
                      <w:b w:val="0"/>
                      <w:i w:val="0"/>
                    </w:rPr>
                    <m:t>common</m:t>
                  </m:r>
                  <m:ctrlPr>
                    <w:rPr>
                      <w:rFonts w:ascii="Cambria Math" w:hAnsi="Cambria Math" w:eastAsia="等线"/>
                    </w:rPr>
                  </m:ctrlPr>
                </m:sup>
              </m:sSubSup>
            </m:oMath>
            <w:r>
              <w:rPr>
                <w:rFonts w:eastAsia="宋体"/>
              </w:rPr>
              <w:t xml:space="preserve"> between the previous transmission and the current transmission, </w:t>
            </w:r>
            <w:r>
              <w:t xml:space="preserve"> in one adjustment shall be </w:t>
            </w:r>
            <w:r>
              <w:rPr>
                <w:rFonts w:cs="v4.2.0"/>
              </w:rPr>
              <w:t>T</w:t>
            </w:r>
            <w:r>
              <w:rPr>
                <w:rFonts w:cs="v4.2.0"/>
                <w:vertAlign w:val="subscript"/>
              </w:rPr>
              <w:t>q_NTN_M1</w:t>
            </w:r>
            <w:r>
              <w:t xml:space="preserve"> seconds.</w:t>
            </w:r>
          </w:p>
          <w:p>
            <w:pPr>
              <w:pStyle w:val="51"/>
            </w:pPr>
            <w:r>
              <w:t>2)</w:t>
            </w:r>
            <w:r>
              <w:tab/>
            </w:r>
            <w:r>
              <w:t>The minimum aggregate adjustment rate,</w:t>
            </w:r>
            <w:r>
              <w:rPr>
                <w:rFonts w:eastAsia="宋体"/>
              </w:rPr>
              <w:t xml:space="preserve"> </w:t>
            </w:r>
            <w:r>
              <w:rPr>
                <w:rFonts w:eastAsia="宋体"/>
                <w:highlight w:val="cyan"/>
              </w:rPr>
              <w:t xml:space="preserve">apart from a change of </w:t>
            </w:r>
            <m:oMath>
              <m:sSubSup>
                <m:sSubSupPr>
                  <m:ctrlPr>
                    <w:rPr>
                      <w:rFonts w:ascii="Cambria Math" w:hAnsi="Cambria Math" w:eastAsia="等线"/>
                      <w:highlight w:val="cyan"/>
                    </w:rPr>
                  </m:ctrlPr>
                </m:sSubSupPr>
                <m:e>
                  <m:r>
                    <m:rPr>
                      <m:sty m:val="p"/>
                    </m:rPr>
                    <w:rPr>
                      <w:rFonts w:ascii="Cambria Math" w:hAnsi="Cambria Math" w:eastAsia="等线"/>
                      <w:highlight w:val="cyan"/>
                    </w:rPr>
                    <m:t>N</m:t>
                  </m:r>
                  <m:ctrlPr>
                    <w:rPr>
                      <w:rFonts w:ascii="Cambria Math" w:hAnsi="Cambria Math" w:eastAsia="等线"/>
                      <w:highlight w:val="cyan"/>
                    </w:rPr>
                  </m:ctrlPr>
                </m:e>
                <m:sub>
                  <m:r>
                    <m:rPr>
                      <m:nor/>
                      <m:sty m:val="p"/>
                    </m:rPr>
                    <w:rPr>
                      <w:rFonts w:eastAsia="等线"/>
                      <w:b w:val="0"/>
                      <w:i w:val="0"/>
                      <w:highlight w:val="cyan"/>
                    </w:rPr>
                    <m:t>TA,adj</m:t>
                  </m:r>
                  <m:ctrlPr>
                    <w:rPr>
                      <w:rFonts w:ascii="Cambria Math" w:hAnsi="Cambria Math" w:eastAsia="等线"/>
                      <w:highlight w:val="cyan"/>
                    </w:rPr>
                  </m:ctrlPr>
                </m:sub>
                <m:sup>
                  <m:r>
                    <m:rPr>
                      <m:nor/>
                      <m:sty m:val="p"/>
                    </m:rPr>
                    <w:rPr>
                      <w:rFonts w:eastAsia="等线"/>
                      <w:b w:val="0"/>
                      <w:i w:val="0"/>
                      <w:highlight w:val="cyan"/>
                    </w:rPr>
                    <m:t>UE</m:t>
                  </m:r>
                  <m:ctrlPr>
                    <w:rPr>
                      <w:rFonts w:ascii="Cambria Math" w:hAnsi="Cambria Math" w:eastAsia="等线"/>
                      <w:highlight w:val="cyan"/>
                    </w:rPr>
                  </m:ctrlPr>
                </m:sup>
              </m:sSubSup>
            </m:oMath>
            <w:r>
              <w:rPr>
                <w:rFonts w:eastAsia="宋体"/>
                <w:highlight w:val="cyan"/>
              </w:rPr>
              <w:t xml:space="preserve"> due to satellite position update</w:t>
            </w:r>
            <w:r>
              <w:rPr>
                <w:rFonts w:eastAsia="宋体"/>
              </w:rPr>
              <w:t xml:space="preserve"> and </w:t>
            </w:r>
            <m:oMath>
              <m:sSubSup>
                <m:sSubSupPr>
                  <m:ctrlPr>
                    <w:rPr>
                      <w:rFonts w:ascii="Cambria Math" w:hAnsi="Cambria Math" w:eastAsia="等线"/>
                    </w:rPr>
                  </m:ctrlPr>
                </m:sSubSupPr>
                <m:e>
                  <m:r>
                    <m:rPr>
                      <m:sty m:val="p"/>
                    </m:rPr>
                    <w:rPr>
                      <w:rFonts w:ascii="Cambria Math" w:hAnsi="Cambria Math" w:eastAsia="等线"/>
                    </w:rPr>
                    <m:t>N</m:t>
                  </m:r>
                  <m:ctrlPr>
                    <w:rPr>
                      <w:rFonts w:ascii="Cambria Math" w:hAnsi="Cambria Math" w:eastAsia="等线"/>
                    </w:rPr>
                  </m:ctrlPr>
                </m:e>
                <m:sub>
                  <m:r>
                    <m:rPr>
                      <m:nor/>
                      <m:sty m:val="p"/>
                    </m:rPr>
                    <w:rPr>
                      <w:rFonts w:eastAsia="等线"/>
                      <w:b w:val="0"/>
                      <w:i w:val="0"/>
                    </w:rPr>
                    <m:t>TA,adj</m:t>
                  </m:r>
                  <m:ctrlPr>
                    <w:rPr>
                      <w:rFonts w:ascii="Cambria Math" w:hAnsi="Cambria Math" w:eastAsia="等线"/>
                    </w:rPr>
                  </m:ctrlPr>
                </m:sub>
                <m:sup>
                  <m:r>
                    <m:rPr>
                      <m:nor/>
                      <m:sty m:val="p"/>
                    </m:rPr>
                    <w:rPr>
                      <w:rFonts w:eastAsia="等线"/>
                      <w:b w:val="0"/>
                      <w:i w:val="0"/>
                    </w:rPr>
                    <m:t>common</m:t>
                  </m:r>
                  <m:ctrlPr>
                    <w:rPr>
                      <w:rFonts w:ascii="Cambria Math" w:hAnsi="Cambria Math" w:eastAsia="等线"/>
                    </w:rPr>
                  </m:ctrlPr>
                </m:sup>
              </m:sSubSup>
            </m:oMath>
            <w:r>
              <w:rPr>
                <w:rFonts w:eastAsia="宋体"/>
              </w:rPr>
              <w:t xml:space="preserve"> between the previous transmission and the current transmission, </w:t>
            </w:r>
            <w:r>
              <w:t xml:space="preserve"> shall be 7</w:t>
            </w:r>
            <w:r>
              <w:rPr>
                <w:rFonts w:cs="v4.2.0"/>
              </w:rPr>
              <w:t>*T</w:t>
            </w:r>
            <w:r>
              <w:rPr>
                <w:rFonts w:cs="v4.2.0"/>
                <w:vertAlign w:val="subscript"/>
              </w:rPr>
              <w:t>S</w:t>
            </w:r>
            <w:r>
              <w:t xml:space="preserve"> per second.</w:t>
            </w:r>
          </w:p>
          <w:p>
            <w:pPr>
              <w:pStyle w:val="51"/>
              <w:rPr>
                <w:rFonts w:cs="v4.2.0"/>
              </w:rPr>
            </w:pPr>
            <w:r>
              <w:rPr>
                <w:rFonts w:cs="v4.2.0"/>
              </w:rPr>
              <w:t>3)</w:t>
            </w:r>
            <w:r>
              <w:rPr>
                <w:rFonts w:cs="v4.2.0"/>
              </w:rPr>
              <w:tab/>
            </w:r>
            <w:r>
              <w:rPr>
                <w:rFonts w:cs="v4.2.0"/>
              </w:rPr>
              <w:t>The maximum aggregate adjustment rate,</w:t>
            </w:r>
            <w:r>
              <w:rPr>
                <w:rFonts w:eastAsia="宋体"/>
              </w:rPr>
              <w:t xml:space="preserve"> </w:t>
            </w:r>
            <w:r>
              <w:rPr>
                <w:rFonts w:eastAsia="宋体"/>
                <w:highlight w:val="cyan"/>
              </w:rPr>
              <w:t xml:space="preserve">apart from a change of </w:t>
            </w:r>
            <m:oMath>
              <m:sSubSup>
                <m:sSubSupPr>
                  <m:ctrlPr>
                    <w:rPr>
                      <w:rFonts w:ascii="Cambria Math" w:hAnsi="Cambria Math" w:eastAsia="等线"/>
                      <w:highlight w:val="cyan"/>
                    </w:rPr>
                  </m:ctrlPr>
                </m:sSubSupPr>
                <m:e>
                  <m:r>
                    <m:rPr>
                      <m:sty m:val="p"/>
                    </m:rPr>
                    <w:rPr>
                      <w:rFonts w:ascii="Cambria Math" w:hAnsi="Cambria Math" w:eastAsia="等线"/>
                      <w:highlight w:val="cyan"/>
                    </w:rPr>
                    <m:t>N</m:t>
                  </m:r>
                  <m:ctrlPr>
                    <w:rPr>
                      <w:rFonts w:ascii="Cambria Math" w:hAnsi="Cambria Math" w:eastAsia="等线"/>
                      <w:highlight w:val="cyan"/>
                    </w:rPr>
                  </m:ctrlPr>
                </m:e>
                <m:sub>
                  <m:r>
                    <m:rPr>
                      <m:nor/>
                      <m:sty m:val="p"/>
                    </m:rPr>
                    <w:rPr>
                      <w:rFonts w:eastAsia="等线"/>
                      <w:b w:val="0"/>
                      <w:i w:val="0"/>
                      <w:highlight w:val="cyan"/>
                    </w:rPr>
                    <m:t>TA,adj</m:t>
                  </m:r>
                  <m:ctrlPr>
                    <w:rPr>
                      <w:rFonts w:ascii="Cambria Math" w:hAnsi="Cambria Math" w:eastAsia="等线"/>
                      <w:highlight w:val="cyan"/>
                    </w:rPr>
                  </m:ctrlPr>
                </m:sub>
                <m:sup>
                  <m:r>
                    <m:rPr>
                      <m:nor/>
                      <m:sty m:val="p"/>
                    </m:rPr>
                    <w:rPr>
                      <w:rFonts w:eastAsia="等线"/>
                      <w:b w:val="0"/>
                      <w:i w:val="0"/>
                      <w:highlight w:val="cyan"/>
                    </w:rPr>
                    <m:t>UE</m:t>
                  </m:r>
                  <m:ctrlPr>
                    <w:rPr>
                      <w:rFonts w:ascii="Cambria Math" w:hAnsi="Cambria Math" w:eastAsia="等线"/>
                      <w:highlight w:val="cyan"/>
                    </w:rPr>
                  </m:ctrlPr>
                </m:sup>
              </m:sSubSup>
            </m:oMath>
            <w:r>
              <w:rPr>
                <w:rFonts w:eastAsia="宋体"/>
                <w:highlight w:val="cyan"/>
              </w:rPr>
              <w:t xml:space="preserve"> due to satellite position update</w:t>
            </w:r>
            <w:r>
              <w:rPr>
                <w:rFonts w:eastAsia="宋体"/>
              </w:rPr>
              <w:t xml:space="preserve"> and </w:t>
            </w:r>
            <m:oMath>
              <m:sSubSup>
                <m:sSubSupPr>
                  <m:ctrlPr>
                    <w:rPr>
                      <w:rFonts w:ascii="Cambria Math" w:hAnsi="Cambria Math" w:eastAsia="等线"/>
                    </w:rPr>
                  </m:ctrlPr>
                </m:sSubSupPr>
                <m:e>
                  <m:r>
                    <m:rPr>
                      <m:sty m:val="p"/>
                    </m:rPr>
                    <w:rPr>
                      <w:rFonts w:ascii="Cambria Math" w:hAnsi="Cambria Math" w:eastAsia="等线"/>
                    </w:rPr>
                    <m:t>N</m:t>
                  </m:r>
                  <m:ctrlPr>
                    <w:rPr>
                      <w:rFonts w:ascii="Cambria Math" w:hAnsi="Cambria Math" w:eastAsia="等线"/>
                    </w:rPr>
                  </m:ctrlPr>
                </m:e>
                <m:sub>
                  <m:r>
                    <m:rPr>
                      <m:nor/>
                      <m:sty m:val="p"/>
                    </m:rPr>
                    <w:rPr>
                      <w:rFonts w:eastAsia="等线"/>
                      <w:b w:val="0"/>
                      <w:i w:val="0"/>
                    </w:rPr>
                    <m:t>TA,adj</m:t>
                  </m:r>
                  <m:ctrlPr>
                    <w:rPr>
                      <w:rFonts w:ascii="Cambria Math" w:hAnsi="Cambria Math" w:eastAsia="等线"/>
                    </w:rPr>
                  </m:ctrlPr>
                </m:sub>
                <m:sup>
                  <m:r>
                    <m:rPr>
                      <m:nor/>
                      <m:sty m:val="p"/>
                    </m:rPr>
                    <w:rPr>
                      <w:rFonts w:eastAsia="等线"/>
                      <w:b w:val="0"/>
                      <w:i w:val="0"/>
                    </w:rPr>
                    <m:t>common</m:t>
                  </m:r>
                  <m:ctrlPr>
                    <w:rPr>
                      <w:rFonts w:ascii="Cambria Math" w:hAnsi="Cambria Math" w:eastAsia="等线"/>
                    </w:rPr>
                  </m:ctrlPr>
                </m:sup>
              </m:sSubSup>
            </m:oMath>
            <w:r>
              <w:rPr>
                <w:rFonts w:eastAsia="宋体"/>
              </w:rPr>
              <w:t xml:space="preserve"> between the previous transmission and the current transmission, </w:t>
            </w:r>
            <w:r>
              <w:rPr>
                <w:rFonts w:cs="v4.2.0"/>
              </w:rPr>
              <w:t xml:space="preserve"> shall be T</w:t>
            </w:r>
            <w:r>
              <w:rPr>
                <w:rFonts w:cs="v4.2.0"/>
                <w:vertAlign w:val="subscript"/>
              </w:rPr>
              <w:t>q_NTN_M1</w:t>
            </w:r>
            <w:r>
              <w:rPr>
                <w:rFonts w:cs="v4.2.0"/>
              </w:rPr>
              <w:t xml:space="preserve"> per 200ms.</w:t>
            </w:r>
          </w:p>
          <w:p>
            <w:r>
              <w:t>Where the maximum autonomous time adjustment step T</w:t>
            </w:r>
            <w:r>
              <w:rPr>
                <w:vertAlign w:val="subscript"/>
              </w:rPr>
              <w:t>q_NTN_M1</w:t>
            </w:r>
            <w:r>
              <w:t xml:space="preserve"> is specified in Table 7.24A.2-2.</w:t>
            </w:r>
          </w:p>
          <w:p>
            <w:pPr>
              <w:pStyle w:val="53"/>
            </w:pPr>
            <w:r>
              <w:rPr>
                <w:snapToGrid w:val="0"/>
              </w:rPr>
              <w:t>Table 7.24A.2-2: T</w:t>
            </w:r>
            <w:r>
              <w:rPr>
                <w:snapToGrid w:val="0"/>
                <w:vertAlign w:val="subscript"/>
              </w:rPr>
              <w:t>q_NTN_M1</w:t>
            </w:r>
            <w:r>
              <w:rPr>
                <w:snapToGrid w:val="0"/>
              </w:rPr>
              <w:t xml:space="preserve"> Maximum Autonomous Time Adjustment Step</w:t>
            </w:r>
          </w:p>
          <w:tbl>
            <w:tblPr>
              <w:tblStyle w:val="2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4"/>
              <w:gridCol w:w="3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8" w:type="pct"/>
                </w:tcPr>
                <w:p>
                  <w:pPr>
                    <w:pStyle w:val="44"/>
                  </w:pPr>
                  <w:r>
                    <w:t>CE Mode</w:t>
                  </w:r>
                </w:p>
              </w:tc>
              <w:tc>
                <w:tcPr>
                  <w:tcW w:w="2712" w:type="pct"/>
                </w:tcPr>
                <w:p>
                  <w:pPr>
                    <w:pStyle w:val="44"/>
                  </w:pPr>
                  <w:r>
                    <w:t>T</w:t>
                  </w:r>
                  <w:r>
                    <w:rPr>
                      <w:vertAlign w:val="subscript"/>
                    </w:rPr>
                    <w:t>q_NTN_M1_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8" w:type="pct"/>
                </w:tcPr>
                <w:p>
                  <w:pPr>
                    <w:pStyle w:val="45"/>
                  </w:pPr>
                  <w:r>
                    <w:t>A</w:t>
                  </w:r>
                </w:p>
              </w:tc>
              <w:tc>
                <w:tcPr>
                  <w:tcW w:w="2712" w:type="pct"/>
                </w:tcPr>
                <w:p>
                  <w:pPr>
                    <w:pStyle w:val="45"/>
                  </w:pPr>
                  <w:r>
                    <w:rPr>
                      <w:rFonts w:cs="v4.2.0"/>
                    </w:rPr>
                    <w:t>17.5</w:t>
                  </w:r>
                  <w:r>
                    <w:rPr>
                      <w:rFonts w:ascii="Times New Roman" w:hAnsi="Times New Roman"/>
                    </w:rPr>
                    <w:t>*</w:t>
                  </w:r>
                  <w:r>
                    <w:rPr>
                      <w:rFonts w:cs="v4.2.0"/>
                    </w:rPr>
                    <w:t>T</w:t>
                  </w:r>
                  <w:r>
                    <w:rPr>
                      <w:rFonts w:cs="v4.2.0"/>
                      <w:vertAlign w:val="subscript"/>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8" w:type="pct"/>
                </w:tcPr>
                <w:p>
                  <w:pPr>
                    <w:pStyle w:val="45"/>
                    <w:rPr>
                      <w:snapToGrid w:val="0"/>
                    </w:rPr>
                  </w:pPr>
                  <w:r>
                    <w:t>B</w:t>
                  </w:r>
                </w:p>
              </w:tc>
              <w:tc>
                <w:tcPr>
                  <w:tcW w:w="2712" w:type="pct"/>
                </w:tcPr>
                <w:p>
                  <w:pPr>
                    <w:pStyle w:val="45"/>
                    <w:rPr>
                      <w:snapToGrid w:val="0"/>
                    </w:rPr>
                  </w:pPr>
                  <w:r>
                    <w:rPr>
                      <w:rFonts w:cs="v4.2.0"/>
                    </w:rPr>
                    <w:t>17.5*Ts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pPr>
                    <w:pStyle w:val="58"/>
                  </w:pPr>
                  <w:r>
                    <w:t>Note 1:</w:t>
                  </w:r>
                  <w:r>
                    <w:tab/>
                  </w:r>
                  <w:r>
                    <w:t>T</w:t>
                  </w:r>
                  <w:r>
                    <w:rPr>
                      <w:vertAlign w:val="subscript"/>
                    </w:rPr>
                    <w:t>S</w:t>
                  </w:r>
                  <w:r>
                    <w:t xml:space="preserve"> is the basic timing unit defined in TS 36.211.</w:t>
                  </w:r>
                </w:p>
                <w:p>
                  <w:pPr>
                    <w:pStyle w:val="58"/>
                  </w:pPr>
                  <w:r>
                    <w:t>Note 2:</w:t>
                  </w:r>
                  <w:r>
                    <w:tab/>
                  </w:r>
                  <w:r>
                    <w:t>This requirement applies regardless of the downlink carrier bandwidth.</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lang w:val="en-US" w:eastAsia="zh-CN"/>
        </w:rPr>
        <w:t>We find that when define the Tp and Tq requirements, the satellite position update has already been precluded. Also, the UE speed in NTN scenario is not similar to HST or ATG which is 3km/h. Thus, the impact of UE speed can be precluded, such as time drift and frequency error etc. However, we find that the legacy Tp and Tq of IoT NTN are reused the value of  legacy IoT TN. To my understanding, the legacy Tp and Tq in IoT NTN can be reused in IoT NTN TDD mode.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2: The legacy Tp and Tq of IoT NTN are reused the value of  legacy IoT 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b/>
          <w:bCs/>
          <w:lang w:val="en-US" w:eastAsia="zh-CN"/>
        </w:rPr>
      </w:pPr>
      <w:r>
        <w:rPr>
          <w:rFonts w:hint="eastAsia"/>
          <w:b/>
          <w:bCs/>
          <w:lang w:val="en-US" w:eastAsia="zh-CN"/>
        </w:rPr>
        <w:t>Proposal 3: The legacy Tp and Tq in IoT NTN can be reused in IoT NTN TDD mode.</w:t>
      </w:r>
    </w:p>
    <w:p>
      <w:pPr>
        <w:pStyle w:val="78"/>
        <w:numPr>
          <w:ilvl w:val="1"/>
          <w:numId w:val="0"/>
        </w:numPr>
        <w:bidi w:val="0"/>
        <w:rPr>
          <w:rFonts w:hint="default"/>
          <w:lang w:val="en-US" w:eastAsia="zh-CN"/>
        </w:rPr>
      </w:pPr>
      <w:r>
        <w:rPr>
          <w:rFonts w:hint="eastAsia"/>
          <w:lang w:val="en-US" w:eastAsia="zh-CN"/>
        </w:rPr>
        <w:t>2.2 UE RF impact</w:t>
      </w:r>
    </w:p>
    <w:p>
      <w:pPr>
        <w:bidi w:val="0"/>
        <w:rPr>
          <w:rFonts w:hint="default"/>
          <w:sz w:val="20"/>
          <w:szCs w:val="18"/>
          <w:lang w:val="en-US" w:eastAsia="zh-CN"/>
        </w:rPr>
      </w:pPr>
      <w:r>
        <w:rPr>
          <w:rFonts w:hint="eastAsia"/>
          <w:sz w:val="20"/>
          <w:szCs w:val="18"/>
          <w:lang w:val="en-US" w:eastAsia="zh-CN"/>
        </w:rPr>
        <w:t>The impact on UE RF requirements due to periodic pattern is listed in the following table.</w:t>
      </w:r>
    </w:p>
    <w:p>
      <w:pPr>
        <w:jc w:val="center"/>
        <w:rPr>
          <w:rFonts w:hint="default"/>
          <w:b/>
          <w:bCs/>
          <w:lang w:val="en-US" w:eastAsia="zh-CN"/>
        </w:rPr>
      </w:pPr>
      <w:r>
        <w:rPr>
          <w:rFonts w:hint="eastAsia" w:cs="Times New Roman"/>
          <w:b/>
          <w:bCs/>
          <w:kern w:val="2"/>
          <w:sz w:val="20"/>
          <w:szCs w:val="20"/>
          <w:lang w:val="en-US" w:eastAsia="zh-CN" w:bidi="ar-SA"/>
        </w:rPr>
        <w:t>Table 2: Impact on UE RF requirements due to periodic pattern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142"/>
        <w:gridCol w:w="5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0" w:hRule="atLeast"/>
        </w:trPr>
        <w:tc>
          <w:tcPr>
            <w:tcW w:w="4149" w:type="dxa"/>
            <w:shd w:val="clear" w:color="000000" w:fill="FFFFFF"/>
            <w:vAlign w:val="center"/>
          </w:tcPr>
          <w:p>
            <w:pPr>
              <w:spacing w:after="0"/>
              <w:rPr>
                <w:rFonts w:hint="eastAsia" w:ascii="Times New Roman" w:hAnsi="Times New Roman" w:eastAsia="宋体" w:cs="Times New Roman"/>
                <w:b/>
                <w:bCs/>
                <w:kern w:val="2"/>
                <w:sz w:val="20"/>
                <w:szCs w:val="20"/>
                <w:lang w:val="en-US" w:eastAsia="fi-FI" w:bidi="ar-SA"/>
              </w:rPr>
            </w:pPr>
            <w:r>
              <w:rPr>
                <w:rFonts w:hint="eastAsia" w:cs="Times New Roman"/>
                <w:b/>
                <w:bCs/>
                <w:kern w:val="2"/>
                <w:sz w:val="20"/>
                <w:szCs w:val="20"/>
                <w:lang w:val="en-US" w:eastAsia="zh-CN" w:bidi="ar-SA"/>
              </w:rPr>
              <w:t>IoT</w:t>
            </w:r>
            <w:r>
              <w:rPr>
                <w:rFonts w:hint="eastAsia" w:ascii="Times New Roman" w:hAnsi="Times New Roman" w:eastAsia="宋体" w:cs="Times New Roman"/>
                <w:b/>
                <w:bCs/>
                <w:kern w:val="2"/>
                <w:sz w:val="20"/>
                <w:szCs w:val="20"/>
                <w:lang w:val="en-US" w:eastAsia="zh-CN" w:bidi="ar-SA"/>
              </w:rPr>
              <w:t>-NTN</w:t>
            </w:r>
            <w:r>
              <w:rPr>
                <w:rFonts w:hint="eastAsia" w:ascii="Times New Roman" w:hAnsi="Times New Roman" w:eastAsia="宋体" w:cs="Times New Roman"/>
                <w:b/>
                <w:bCs/>
                <w:kern w:val="2"/>
                <w:sz w:val="20"/>
                <w:szCs w:val="20"/>
                <w:lang w:val="en-US" w:eastAsia="fi-FI" w:bidi="ar-SA"/>
              </w:rPr>
              <w:t xml:space="preserve"> UE Tx/Rx requirement</w:t>
            </w:r>
          </w:p>
        </w:tc>
        <w:tc>
          <w:tcPr>
            <w:tcW w:w="5651" w:type="dxa"/>
            <w:shd w:val="clear" w:color="000000" w:fill="FFFFFF"/>
            <w:vAlign w:val="center"/>
          </w:tcPr>
          <w:p>
            <w:pPr>
              <w:spacing w:after="0"/>
              <w:rPr>
                <w:rFonts w:hint="eastAsia" w:ascii="Times New Roman" w:hAnsi="Times New Roman" w:eastAsia="宋体" w:cs="Times New Roman"/>
                <w:b/>
                <w:bCs/>
                <w:kern w:val="2"/>
                <w:sz w:val="20"/>
                <w:szCs w:val="20"/>
                <w:lang w:val="en-US" w:eastAsia="zh-CN" w:bidi="ar-SA"/>
              </w:rPr>
            </w:pPr>
            <w:r>
              <w:rPr>
                <w:rFonts w:hint="eastAsia" w:cs="Times New Roman"/>
                <w:b/>
                <w:bCs/>
                <w:kern w:val="2"/>
                <w:sz w:val="20"/>
                <w:szCs w:val="20"/>
                <w:lang w:val="en-US" w:eastAsia="zh-CN" w:bidi="ar-SA"/>
              </w:rPr>
              <w:t>Whether there is the impact due to periodic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0" w:hRule="atLeast"/>
        </w:trPr>
        <w:tc>
          <w:tcPr>
            <w:tcW w:w="4149" w:type="dxa"/>
            <w:shd w:val="clear" w:color="000000" w:fill="FFFFFF"/>
            <w:vAlign w:val="center"/>
          </w:tcPr>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r>
              <w:rPr>
                <w:rFonts w:hint="eastAsia" w:ascii="Times New Roman" w:hAnsi="Times New Roman" w:eastAsia="Times New Roman" w:cs="Times New Roman"/>
                <w:b w:val="0"/>
                <w:bCs/>
                <w:color w:val="000000"/>
                <w:kern w:val="2"/>
                <w:sz w:val="20"/>
                <w:szCs w:val="20"/>
                <w:lang w:val="fi-FI" w:eastAsia="fi-FI" w:bidi="ar-SA"/>
              </w:rPr>
              <w:t>6.2A.1</w:t>
            </w:r>
            <w:r>
              <w:rPr>
                <w:rFonts w:hint="eastAsia" w:ascii="Times New Roman" w:hAnsi="Times New Roman" w:eastAsia="Times New Roman" w:cs="Times New Roman"/>
                <w:b w:val="0"/>
                <w:bCs/>
                <w:color w:val="000000"/>
                <w:kern w:val="2"/>
                <w:sz w:val="20"/>
                <w:szCs w:val="20"/>
                <w:lang w:val="en-US" w:eastAsia="zh-CN" w:bidi="ar-SA"/>
              </w:rPr>
              <w:t xml:space="preserve"> </w:t>
            </w:r>
            <w:r>
              <w:rPr>
                <w:rFonts w:hint="eastAsia" w:ascii="Times New Roman" w:hAnsi="Times New Roman" w:eastAsia="Times New Roman" w:cs="Times New Roman"/>
                <w:b w:val="0"/>
                <w:bCs/>
                <w:color w:val="000000"/>
                <w:kern w:val="2"/>
                <w:sz w:val="20"/>
                <w:szCs w:val="20"/>
                <w:lang w:val="fi-FI" w:eastAsia="fi-FI" w:bidi="ar-SA"/>
              </w:rPr>
              <w:t>UE maximum output power for category M1</w:t>
            </w:r>
          </w:p>
        </w:tc>
        <w:tc>
          <w:tcPr>
            <w:tcW w:w="5651" w:type="dxa"/>
            <w:vMerge w:val="restart"/>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0" w:hRule="atLeast"/>
        </w:trPr>
        <w:tc>
          <w:tcPr>
            <w:tcW w:w="4149" w:type="dxa"/>
            <w:shd w:val="clear" w:color="000000" w:fill="FFFFFF"/>
            <w:vAlign w:val="center"/>
          </w:tcPr>
          <w:p>
            <w:pPr>
              <w:pStyle w:val="4"/>
              <w:numPr>
                <w:ilvl w:val="2"/>
                <w:numId w:val="0"/>
              </w:numPr>
              <w:ind w:leftChars="0" w:right="0" w:rightChars="0"/>
              <w:rPr>
                <w:rFonts w:ascii="Times New Roman" w:hAnsi="Times New Roman" w:eastAsia="Times New Roman" w:cs="Times New Roman"/>
                <w:b w:val="0"/>
                <w:bCs/>
                <w:color w:val="000000"/>
                <w:kern w:val="2"/>
                <w:sz w:val="20"/>
                <w:szCs w:val="20"/>
                <w:lang w:val="zh-CN" w:eastAsia="fi-FI" w:bidi="ar-SA"/>
              </w:rPr>
            </w:pPr>
            <w:bookmarkStart w:id="2" w:name="_Toc138894766"/>
            <w:bookmarkStart w:id="3" w:name="_Toc130826085"/>
            <w:bookmarkStart w:id="4" w:name="_Toc153136024"/>
            <w:bookmarkStart w:id="5" w:name="_Toc163214332"/>
            <w:bookmarkStart w:id="6" w:name="_Toc121162822"/>
            <w:bookmarkStart w:id="7" w:name="_Toc121827703"/>
            <w:bookmarkStart w:id="8" w:name="_Toc145029477"/>
            <w:bookmarkStart w:id="9" w:name="_Toc161928633"/>
            <w:bookmarkStart w:id="10" w:name="_Toc120570030"/>
            <w:bookmarkStart w:id="11" w:name="_Toc124177531"/>
            <w:bookmarkStart w:id="12" w:name="_Toc137386362"/>
            <w:bookmarkStart w:id="13" w:name="_Toc124177958"/>
            <w:bookmarkStart w:id="14" w:name="_Toc153138218"/>
            <w:bookmarkStart w:id="15" w:name="_Toc137401242"/>
            <w:bookmarkStart w:id="16" w:name="_Toc163213855"/>
            <w:r>
              <w:rPr>
                <w:rFonts w:ascii="Times New Roman" w:hAnsi="Times New Roman" w:eastAsia="Times New Roman" w:cs="Times New Roman"/>
                <w:b w:val="0"/>
                <w:bCs/>
                <w:color w:val="000000"/>
                <w:kern w:val="2"/>
                <w:sz w:val="20"/>
                <w:szCs w:val="20"/>
                <w:lang w:val="fi-FI" w:eastAsia="fi-FI" w:bidi="ar-SA"/>
              </w:rPr>
              <w:t>6.2B.1</w:t>
            </w:r>
            <w:r>
              <w:rPr>
                <w:rFonts w:hint="eastAsia" w:eastAsia="宋体" w:cs="Times New Roman"/>
                <w:b w:val="0"/>
                <w:bCs/>
                <w:color w:val="000000"/>
                <w:kern w:val="2"/>
                <w:sz w:val="20"/>
                <w:szCs w:val="20"/>
                <w:lang w:val="en-US" w:eastAsia="zh-CN" w:bidi="ar-SA"/>
              </w:rPr>
              <w:t xml:space="preserve"> </w:t>
            </w:r>
            <w:r>
              <w:rPr>
                <w:rFonts w:ascii="Times New Roman" w:hAnsi="Times New Roman" w:eastAsia="Times New Roman" w:cs="Times New Roman"/>
                <w:b w:val="0"/>
                <w:bCs/>
                <w:color w:val="000000"/>
                <w:kern w:val="2"/>
                <w:sz w:val="20"/>
                <w:szCs w:val="20"/>
                <w:lang w:val="fi-FI" w:eastAsia="zh-CN" w:bidi="ar-SA"/>
              </w:rPr>
              <w:t xml:space="preserve">UE </w:t>
            </w:r>
            <w:r>
              <w:rPr>
                <w:rFonts w:ascii="Times New Roman" w:hAnsi="Times New Roman" w:eastAsia="Times New Roman" w:cs="Times New Roman"/>
                <w:b w:val="0"/>
                <w:bCs/>
                <w:color w:val="000000"/>
                <w:kern w:val="2"/>
                <w:sz w:val="20"/>
                <w:szCs w:val="20"/>
                <w:lang w:val="fi-FI" w:eastAsia="fi-FI" w:bidi="ar-SA"/>
              </w:rPr>
              <w:t xml:space="preserve">maximum output power for category </w:t>
            </w:r>
            <w:r>
              <w:rPr>
                <w:rFonts w:ascii="Times New Roman" w:hAnsi="Times New Roman" w:eastAsia="Times New Roman" w:cs="Times New Roman"/>
                <w:b w:val="0"/>
                <w:bCs/>
                <w:color w:val="000000"/>
                <w:kern w:val="2"/>
                <w:sz w:val="20"/>
                <w:szCs w:val="20"/>
                <w:lang w:val="zh-CN" w:eastAsia="fi-FI" w:bidi="ar-SA"/>
              </w:rPr>
              <w:t>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4"/>
              <w:numPr>
                <w:ilvl w:val="2"/>
                <w:numId w:val="0"/>
              </w:numPr>
              <w:ind w:leftChars="0" w:right="0" w:rightChars="0"/>
              <w:rPr>
                <w:rFonts w:hint="eastAsia" w:ascii="Times New Roman" w:hAnsi="Times New Roman" w:eastAsia="Times New Roman" w:cs="Times New Roman"/>
                <w:b w:val="0"/>
                <w:bCs/>
                <w:color w:val="000000"/>
                <w:kern w:val="2"/>
                <w:sz w:val="20"/>
                <w:szCs w:val="20"/>
                <w:lang w:val="fi-FI" w:eastAsia="fi-FI" w:bidi="ar-SA"/>
              </w:rPr>
            </w:pPr>
          </w:p>
        </w:tc>
        <w:tc>
          <w:tcPr>
            <w:tcW w:w="5651" w:type="dxa"/>
            <w:vMerge w:val="continue"/>
            <w:shd w:val="clear" w:color="auto" w:fill="auto"/>
            <w:vAlign w:val="center"/>
          </w:tcPr>
          <w:p>
            <w:pPr>
              <w:spacing w:after="0"/>
              <w:rPr>
                <w:rFonts w:hint="eastAsia" w:eastAsia="Times New Roman"/>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r>
              <w:rPr>
                <w:rFonts w:hint="eastAsia" w:ascii="Times New Roman" w:hAnsi="Times New Roman" w:eastAsia="Times New Roman" w:cs="Times New Roman"/>
                <w:b w:val="0"/>
                <w:bCs/>
                <w:color w:val="000000"/>
                <w:kern w:val="2"/>
                <w:sz w:val="20"/>
                <w:szCs w:val="20"/>
                <w:lang w:val="fi-FI" w:eastAsia="fi-FI" w:bidi="ar-SA"/>
              </w:rPr>
              <w:t>6.2A.2</w:t>
            </w:r>
            <w:r>
              <w:rPr>
                <w:rFonts w:hint="eastAsia" w:ascii="Times New Roman" w:hAnsi="Times New Roman" w:eastAsia="Times New Roman" w:cs="Times New Roman"/>
                <w:b w:val="0"/>
                <w:bCs/>
                <w:color w:val="000000"/>
                <w:kern w:val="2"/>
                <w:sz w:val="20"/>
                <w:szCs w:val="20"/>
                <w:lang w:val="en-US" w:eastAsia="zh-CN" w:bidi="ar-SA"/>
              </w:rPr>
              <w:t xml:space="preserve"> </w:t>
            </w:r>
            <w:r>
              <w:rPr>
                <w:rFonts w:hint="eastAsia" w:ascii="Times New Roman" w:hAnsi="Times New Roman" w:eastAsia="Times New Roman" w:cs="Times New Roman"/>
                <w:b w:val="0"/>
                <w:bCs/>
                <w:color w:val="000000"/>
                <w:kern w:val="2"/>
                <w:sz w:val="20"/>
                <w:szCs w:val="20"/>
                <w:lang w:val="fi-FI" w:eastAsia="fi-FI" w:bidi="ar-SA"/>
              </w:rPr>
              <w:t>UE maximum output power reduction for category M1</w:t>
            </w:r>
          </w:p>
        </w:tc>
        <w:tc>
          <w:tcPr>
            <w:tcW w:w="5651" w:type="dxa"/>
            <w:vMerge w:val="restart"/>
            <w:shd w:val="clear" w:color="000000" w:fill="FFFFFF"/>
            <w:vAlign w:val="center"/>
          </w:tcPr>
          <w:p>
            <w:pPr>
              <w:spacing w:after="0"/>
              <w:rPr>
                <w:rFonts w:hint="eastAsia"/>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zh-CN" w:bidi="ar-SA"/>
              </w:rPr>
            </w:pPr>
            <w:bookmarkStart w:id="17" w:name="_Toc161928634"/>
            <w:bookmarkStart w:id="18" w:name="_Toc138894767"/>
            <w:bookmarkStart w:id="19" w:name="_Toc137401243"/>
            <w:bookmarkStart w:id="20" w:name="_Toc121162823"/>
            <w:bookmarkStart w:id="21" w:name="_Toc120570031"/>
            <w:bookmarkStart w:id="22" w:name="_Toc145029478"/>
            <w:bookmarkStart w:id="23" w:name="_Toc121827704"/>
            <w:bookmarkStart w:id="24" w:name="_Toc124177959"/>
            <w:bookmarkStart w:id="25" w:name="_Toc130826086"/>
            <w:bookmarkStart w:id="26" w:name="_Toc153136025"/>
            <w:bookmarkStart w:id="27" w:name="_Toc153138219"/>
            <w:bookmarkStart w:id="28" w:name="_Toc124177532"/>
            <w:bookmarkStart w:id="29" w:name="_Toc137386363"/>
            <w:bookmarkStart w:id="30" w:name="_Toc163213856"/>
            <w:bookmarkStart w:id="31" w:name="_Toc163214333"/>
            <w:r>
              <w:rPr>
                <w:rFonts w:ascii="Times New Roman" w:hAnsi="Times New Roman" w:eastAsia="Times New Roman" w:cs="Times New Roman"/>
                <w:b w:val="0"/>
                <w:bCs/>
                <w:color w:val="000000"/>
                <w:kern w:val="2"/>
                <w:sz w:val="20"/>
                <w:szCs w:val="20"/>
                <w:lang w:val="fi-FI" w:eastAsia="fi-FI" w:bidi="ar-SA"/>
              </w:rPr>
              <w:t>6.2B.2</w:t>
            </w:r>
            <w:r>
              <w:rPr>
                <w:rFonts w:hint="eastAsia" w:eastAsia="宋体" w:cs="Times New Roman"/>
                <w:b w:val="0"/>
                <w:bCs/>
                <w:color w:val="000000"/>
                <w:kern w:val="2"/>
                <w:sz w:val="20"/>
                <w:szCs w:val="20"/>
                <w:lang w:val="en-US" w:eastAsia="zh-CN" w:bidi="ar-SA"/>
              </w:rPr>
              <w:t xml:space="preserve"> </w:t>
            </w:r>
            <w:r>
              <w:rPr>
                <w:rFonts w:ascii="Times New Roman" w:hAnsi="Times New Roman" w:eastAsia="Times New Roman" w:cs="Times New Roman"/>
                <w:b w:val="0"/>
                <w:bCs/>
                <w:color w:val="000000"/>
                <w:kern w:val="2"/>
                <w:sz w:val="20"/>
                <w:szCs w:val="20"/>
                <w:lang w:val="fi-FI" w:eastAsia="fi-FI" w:bidi="ar-SA"/>
              </w:rPr>
              <w:t>UE m</w:t>
            </w:r>
            <w:r>
              <w:rPr>
                <w:rFonts w:ascii="Times New Roman" w:hAnsi="Times New Roman" w:eastAsia="Times New Roman" w:cs="Times New Roman"/>
                <w:b w:val="0"/>
                <w:bCs/>
                <w:color w:val="000000"/>
                <w:kern w:val="2"/>
                <w:sz w:val="20"/>
                <w:szCs w:val="20"/>
                <w:lang w:val="fi-FI" w:eastAsia="zh-CN" w:bidi="ar-SA"/>
              </w:rPr>
              <w:t xml:space="preserve">aximum output power reduction </w:t>
            </w:r>
            <w:r>
              <w:rPr>
                <w:rFonts w:ascii="Times New Roman" w:hAnsi="Times New Roman" w:eastAsia="Times New Roman" w:cs="Times New Roman"/>
                <w:b w:val="0"/>
                <w:bCs/>
                <w:color w:val="000000"/>
                <w:kern w:val="2"/>
                <w:sz w:val="20"/>
                <w:szCs w:val="20"/>
                <w:lang w:val="fi-FI" w:eastAsia="fi-FI" w:bidi="ar-SA"/>
              </w:rPr>
              <w:t xml:space="preserve">for </w:t>
            </w:r>
            <w:r>
              <w:rPr>
                <w:rFonts w:ascii="Times New Roman" w:hAnsi="Times New Roman" w:eastAsia="Times New Roman" w:cs="Times New Roman"/>
                <w:b w:val="0"/>
                <w:bCs/>
                <w:color w:val="000000"/>
                <w:kern w:val="2"/>
                <w:sz w:val="20"/>
                <w:szCs w:val="20"/>
                <w:lang w:val="fi-FI" w:eastAsia="zh-CN" w:bidi="ar-SA"/>
              </w:rPr>
              <w:t>category NB1 and NB2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4"/>
              <w:numPr>
                <w:ilvl w:val="2"/>
                <w:numId w:val="0"/>
              </w:numPr>
              <w:ind w:leftChars="0" w:right="0" w:rightChars="0"/>
              <w:rPr>
                <w:rFonts w:hint="eastAsia" w:ascii="Times New Roman" w:hAnsi="Times New Roman" w:eastAsia="Times New Roman" w:cs="Times New Roman"/>
                <w:b w:val="0"/>
                <w:bCs/>
                <w:color w:val="000000"/>
                <w:kern w:val="2"/>
                <w:sz w:val="20"/>
                <w:szCs w:val="20"/>
                <w:lang w:val="fi-FI" w:eastAsia="fi-FI" w:bidi="ar-SA"/>
              </w:rPr>
            </w:pPr>
          </w:p>
        </w:tc>
        <w:tc>
          <w:tcPr>
            <w:tcW w:w="5651" w:type="dxa"/>
            <w:vMerge w:val="continue"/>
            <w:shd w:val="clear" w:color="000000" w:fill="FFFFFF"/>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3" w:hRule="atLeast"/>
        </w:trPr>
        <w:tc>
          <w:tcPr>
            <w:tcW w:w="4149" w:type="dxa"/>
            <w:shd w:val="clear" w:color="000000" w:fill="FFFFFF"/>
            <w:vAlign w:val="center"/>
          </w:tcPr>
          <w:p>
            <w:pPr>
              <w:pStyle w:val="4"/>
              <w:numPr>
                <w:ilvl w:val="2"/>
                <w:numId w:val="0"/>
              </w:numPr>
              <w:ind w:leftChars="0" w:right="0" w:rightChars="0"/>
              <w:rPr>
                <w:rFonts w:hint="default" w:ascii="Times New Roman" w:hAnsi="Times New Roman" w:eastAsia="Times New Roman" w:cs="Times New Roman"/>
                <w:b w:val="0"/>
                <w:bCs/>
                <w:color w:val="000000"/>
                <w:kern w:val="2"/>
                <w:sz w:val="20"/>
                <w:szCs w:val="20"/>
                <w:lang w:val="en-US" w:eastAsia="zh-CN" w:bidi="ar-SA"/>
              </w:rPr>
            </w:pPr>
            <w:r>
              <w:rPr>
                <w:rFonts w:ascii="Times New Roman" w:hAnsi="Times New Roman" w:eastAsia="Times New Roman" w:cs="Times New Roman"/>
                <w:b w:val="0"/>
                <w:bCs/>
                <w:color w:val="000000"/>
                <w:kern w:val="2"/>
                <w:sz w:val="20"/>
                <w:szCs w:val="20"/>
                <w:lang w:val="fi-FI" w:eastAsia="fi-FI" w:bidi="ar-SA"/>
              </w:rPr>
              <w:t>6.2</w:t>
            </w:r>
            <w:r>
              <w:rPr>
                <w:rFonts w:hint="eastAsia" w:ascii="Times New Roman" w:hAnsi="Times New Roman" w:eastAsia="Times New Roman" w:cs="Times New Roman"/>
                <w:b w:val="0"/>
                <w:bCs/>
                <w:color w:val="000000"/>
                <w:kern w:val="2"/>
                <w:sz w:val="20"/>
                <w:szCs w:val="20"/>
                <w:lang w:val="en-US" w:eastAsia="zh-CN" w:bidi="ar-SA"/>
              </w:rPr>
              <w:t>A</w:t>
            </w:r>
            <w:r>
              <w:rPr>
                <w:rFonts w:ascii="Times New Roman" w:hAnsi="Times New Roman" w:eastAsia="Times New Roman" w:cs="Times New Roman"/>
                <w:b w:val="0"/>
                <w:bCs/>
                <w:color w:val="000000"/>
                <w:kern w:val="2"/>
                <w:sz w:val="20"/>
                <w:szCs w:val="20"/>
                <w:lang w:val="fi-FI" w:eastAsia="fi-FI" w:bidi="ar-SA"/>
              </w:rPr>
              <w:t>.3 A-MPR</w:t>
            </w:r>
            <w:r>
              <w:rPr>
                <w:rFonts w:hint="eastAsia" w:ascii="Times New Roman" w:hAnsi="Times New Roman" w:eastAsia="Times New Roman" w:cs="Times New Roman"/>
                <w:b w:val="0"/>
                <w:bCs/>
                <w:color w:val="000000"/>
                <w:kern w:val="2"/>
                <w:sz w:val="20"/>
                <w:szCs w:val="20"/>
                <w:lang w:val="fi-FI" w:eastAsia="fi-FI" w:bidi="ar-SA"/>
              </w:rPr>
              <w:t xml:space="preserve"> for category M1</w:t>
            </w:r>
            <w:r>
              <w:rPr>
                <w:rFonts w:hint="eastAsia" w:ascii="Times New Roman" w:hAnsi="Times New Roman" w:eastAsia="Times New Roman" w:cs="Times New Roman"/>
                <w:b w:val="0"/>
                <w:bCs/>
                <w:color w:val="000000"/>
                <w:kern w:val="2"/>
                <w:sz w:val="20"/>
                <w:szCs w:val="20"/>
                <w:lang w:val="en-US" w:eastAsia="zh-CN" w:bidi="ar-SA"/>
              </w:rPr>
              <w:t xml:space="preserve"> UE</w:t>
            </w:r>
          </w:p>
        </w:tc>
        <w:tc>
          <w:tcPr>
            <w:tcW w:w="5651" w:type="dxa"/>
            <w:vMerge w:val="restart"/>
            <w:shd w:val="clear" w:color="auto" w:fill="auto"/>
            <w:vAlign w:val="center"/>
          </w:tcPr>
          <w:p>
            <w:pPr>
              <w:rPr>
                <w:rFonts w:hint="eastAsia"/>
                <w:color w:val="000000"/>
                <w:sz w:val="20"/>
                <w:szCs w:val="20"/>
                <w:lang w:val="en-US"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3" w:hRule="atLeast"/>
        </w:trPr>
        <w:tc>
          <w:tcPr>
            <w:tcW w:w="4149" w:type="dxa"/>
            <w:shd w:val="clear" w:color="000000" w:fill="FFFFFF"/>
            <w:vAlign w:val="center"/>
          </w:tcPr>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bookmarkStart w:id="32" w:name="_Toc153136026"/>
            <w:bookmarkStart w:id="33" w:name="_Toc161928635"/>
            <w:bookmarkStart w:id="34" w:name="_Toc153138220"/>
            <w:bookmarkStart w:id="35" w:name="_Toc121162824"/>
            <w:bookmarkStart w:id="36" w:name="_Toc137386364"/>
            <w:bookmarkStart w:id="37" w:name="_Toc124177533"/>
            <w:bookmarkStart w:id="38" w:name="_Toc163214334"/>
            <w:bookmarkStart w:id="39" w:name="_Toc120570032"/>
            <w:bookmarkStart w:id="40" w:name="_Toc124177960"/>
            <w:bookmarkStart w:id="41" w:name="_Toc145029479"/>
            <w:bookmarkStart w:id="42" w:name="_Toc130826087"/>
            <w:bookmarkStart w:id="43" w:name="_Toc138894768"/>
            <w:bookmarkStart w:id="44" w:name="_Toc137401244"/>
            <w:bookmarkStart w:id="45" w:name="_Toc121827705"/>
            <w:bookmarkStart w:id="46" w:name="_Toc163213857"/>
            <w:bookmarkStart w:id="47" w:name="_Toc137401240"/>
            <w:bookmarkStart w:id="48" w:name="_Toc124177956"/>
            <w:bookmarkStart w:id="49" w:name="_Toc161928631"/>
            <w:bookmarkStart w:id="50" w:name="_Toc121162820"/>
            <w:bookmarkStart w:id="51" w:name="_Toc137386360"/>
            <w:bookmarkStart w:id="52" w:name="_Toc124177529"/>
            <w:bookmarkStart w:id="53" w:name="_Toc153138216"/>
            <w:bookmarkStart w:id="54" w:name="_Toc163213853"/>
            <w:bookmarkStart w:id="55" w:name="_Toc121827701"/>
            <w:bookmarkStart w:id="56" w:name="_Toc145029475"/>
            <w:bookmarkStart w:id="57" w:name="_Toc120570028"/>
            <w:bookmarkStart w:id="58" w:name="_Toc138894764"/>
            <w:bookmarkStart w:id="59" w:name="_Toc130826083"/>
            <w:bookmarkStart w:id="60" w:name="_Toc153136022"/>
            <w:bookmarkStart w:id="61" w:name="_Toc163214330"/>
            <w:r>
              <w:rPr>
                <w:rFonts w:ascii="Times New Roman" w:hAnsi="Times New Roman" w:eastAsia="Times New Roman" w:cs="Times New Roman"/>
                <w:b w:val="0"/>
                <w:bCs/>
                <w:color w:val="000000"/>
                <w:kern w:val="2"/>
                <w:sz w:val="20"/>
                <w:szCs w:val="20"/>
                <w:lang w:val="fi-FI" w:eastAsia="fi-FI" w:bidi="ar-SA"/>
              </w:rPr>
              <w:t>6.2B.3</w:t>
            </w:r>
            <w:r>
              <w:rPr>
                <w:rFonts w:hint="eastAsia" w:eastAsia="宋体" w:cs="Times New Roman"/>
                <w:b w:val="0"/>
                <w:bCs/>
                <w:color w:val="000000"/>
                <w:kern w:val="2"/>
                <w:sz w:val="20"/>
                <w:szCs w:val="20"/>
                <w:lang w:val="en-US" w:eastAsia="zh-CN" w:bidi="ar-SA"/>
              </w:rPr>
              <w:t xml:space="preserve"> A-MPR</w:t>
            </w:r>
            <w:r>
              <w:rPr>
                <w:rFonts w:ascii="Times New Roman" w:hAnsi="Times New Roman" w:eastAsia="Times New Roman" w:cs="Times New Roman"/>
                <w:b w:val="0"/>
                <w:bCs/>
                <w:color w:val="000000"/>
                <w:kern w:val="2"/>
                <w:sz w:val="20"/>
                <w:szCs w:val="20"/>
                <w:lang w:val="fi-FI" w:eastAsia="fi-FI" w:bidi="ar-SA"/>
              </w:rPr>
              <w:t xml:space="preserve"> for category NB1 and NB2 UE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p>
        </w:tc>
        <w:tc>
          <w:tcPr>
            <w:tcW w:w="5651" w:type="dxa"/>
            <w:vMerge w:val="continue"/>
            <w:shd w:val="clear" w:color="auto" w:fill="auto"/>
            <w:vAlign w:val="center"/>
          </w:tcPr>
          <w:p>
            <w:pPr>
              <w:rPr>
                <w:rFonts w:hint="eastAsia"/>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20" w:hRule="atLeast"/>
        </w:trPr>
        <w:tc>
          <w:tcPr>
            <w:tcW w:w="4149" w:type="dxa"/>
            <w:shd w:val="clear" w:color="000000" w:fill="FFFFFF"/>
            <w:vAlign w:val="center"/>
          </w:tcPr>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r>
              <w:rPr>
                <w:rFonts w:ascii="Times New Roman" w:hAnsi="Times New Roman" w:eastAsia="Times New Roman" w:cs="Times New Roman"/>
                <w:b w:val="0"/>
                <w:bCs/>
                <w:color w:val="000000"/>
                <w:kern w:val="2"/>
                <w:sz w:val="20"/>
                <w:szCs w:val="20"/>
                <w:lang w:val="fi-FI" w:eastAsia="fi-FI" w:bidi="ar-SA"/>
              </w:rPr>
              <w:t>6.2A.4</w:t>
            </w:r>
            <w:r>
              <w:rPr>
                <w:rFonts w:hint="eastAsia" w:eastAsia="宋体" w:cs="Times New Roman"/>
                <w:b w:val="0"/>
                <w:bCs/>
                <w:color w:val="000000"/>
                <w:kern w:val="2"/>
                <w:sz w:val="20"/>
                <w:szCs w:val="20"/>
                <w:lang w:val="en-US" w:eastAsia="zh-CN" w:bidi="ar-SA"/>
              </w:rPr>
              <w:t xml:space="preserve"> </w:t>
            </w:r>
            <w:r>
              <w:rPr>
                <w:rFonts w:ascii="Times New Roman" w:hAnsi="Times New Roman" w:eastAsia="Times New Roman" w:cs="Times New Roman"/>
                <w:b w:val="0"/>
                <w:bCs/>
                <w:color w:val="000000"/>
                <w:kern w:val="2"/>
                <w:sz w:val="20"/>
                <w:szCs w:val="20"/>
                <w:lang w:val="fi-FI" w:eastAsia="fi-FI" w:bidi="ar-SA"/>
              </w:rPr>
              <w:t>Configured transmitted Power for category M1</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p>
        </w:tc>
        <w:tc>
          <w:tcPr>
            <w:tcW w:w="5651" w:type="dxa"/>
            <w:vMerge w:val="restart"/>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20" w:hRule="atLeast"/>
        </w:trPr>
        <w:tc>
          <w:tcPr>
            <w:tcW w:w="4149" w:type="dxa"/>
            <w:shd w:val="clear" w:color="000000" w:fill="FFFFFF"/>
            <w:vAlign w:val="center"/>
          </w:tcPr>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bookmarkStart w:id="62" w:name="_Toc408323042"/>
            <w:bookmarkStart w:id="63" w:name="_Toc130826088"/>
            <w:bookmarkStart w:id="64" w:name="_Toc163214335"/>
            <w:bookmarkStart w:id="65" w:name="_Toc137386365"/>
            <w:bookmarkStart w:id="66" w:name="_Toc163213858"/>
            <w:bookmarkStart w:id="67" w:name="_Toc145029480"/>
            <w:bookmarkStart w:id="68" w:name="_Toc120570033"/>
            <w:bookmarkStart w:id="69" w:name="_Toc124177961"/>
            <w:bookmarkStart w:id="70" w:name="_Toc153136027"/>
            <w:bookmarkStart w:id="71" w:name="_Toc137401245"/>
            <w:bookmarkStart w:id="72" w:name="_Toc111062038"/>
            <w:bookmarkStart w:id="73" w:name="_Toc138894769"/>
            <w:bookmarkStart w:id="74" w:name="_Toc161928636"/>
            <w:bookmarkStart w:id="75" w:name="_Toc121162825"/>
            <w:bookmarkStart w:id="76" w:name="_Toc124177534"/>
            <w:bookmarkStart w:id="77" w:name="_Toc153138221"/>
            <w:bookmarkStart w:id="78" w:name="_Toc121827706"/>
            <w:r>
              <w:rPr>
                <w:rFonts w:ascii="Times New Roman" w:hAnsi="Times New Roman" w:eastAsia="Times New Roman" w:cs="Times New Roman"/>
                <w:b w:val="0"/>
                <w:bCs/>
                <w:color w:val="000000"/>
                <w:kern w:val="2"/>
                <w:sz w:val="20"/>
                <w:szCs w:val="20"/>
                <w:lang w:val="fi-FI" w:eastAsia="fi-FI" w:bidi="ar-SA"/>
              </w:rPr>
              <w:t>6.2B.4</w:t>
            </w:r>
            <w:r>
              <w:rPr>
                <w:rFonts w:hint="eastAsia" w:eastAsia="宋体" w:cs="Times New Roman"/>
                <w:b w:val="0"/>
                <w:bCs/>
                <w:color w:val="000000"/>
                <w:kern w:val="2"/>
                <w:sz w:val="20"/>
                <w:szCs w:val="20"/>
                <w:lang w:val="en-US" w:eastAsia="zh-CN" w:bidi="ar-SA"/>
              </w:rPr>
              <w:t xml:space="preserve"> </w:t>
            </w:r>
            <w:r>
              <w:rPr>
                <w:rFonts w:ascii="Times New Roman" w:hAnsi="Times New Roman" w:eastAsia="Times New Roman" w:cs="Times New Roman"/>
                <w:b w:val="0"/>
                <w:bCs/>
                <w:color w:val="000000"/>
                <w:kern w:val="2"/>
                <w:sz w:val="20"/>
                <w:szCs w:val="20"/>
                <w:lang w:val="fi-FI" w:eastAsia="fi-FI" w:bidi="ar-SA"/>
              </w:rPr>
              <w:t>Configured transmitted Power</w:t>
            </w:r>
            <w:bookmarkEnd w:id="62"/>
            <w:r>
              <w:rPr>
                <w:rFonts w:ascii="Times New Roman" w:hAnsi="Times New Roman" w:eastAsia="Times New Roman" w:cs="Times New Roman"/>
                <w:b w:val="0"/>
                <w:bCs/>
                <w:color w:val="000000"/>
                <w:kern w:val="2"/>
                <w:sz w:val="20"/>
                <w:szCs w:val="20"/>
                <w:lang w:val="fi-FI" w:eastAsia="fi-FI" w:bidi="ar-SA"/>
              </w:rPr>
              <w:t xml:space="preserve"> for category NB1 and NB2</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4"/>
              <w:numPr>
                <w:ilvl w:val="2"/>
                <w:numId w:val="0"/>
              </w:numPr>
              <w:ind w:leftChars="0" w:right="0" w:rightChars="0"/>
              <w:rPr>
                <w:rFonts w:ascii="Times New Roman" w:hAnsi="Times New Roman" w:eastAsia="Times New Roman" w:cs="Times New Roman"/>
                <w:b w:val="0"/>
                <w:bCs/>
                <w:color w:val="000000"/>
                <w:kern w:val="2"/>
                <w:sz w:val="20"/>
                <w:szCs w:val="20"/>
                <w:lang w:val="fi-FI" w:eastAsia="fi-FI" w:bidi="ar-SA"/>
              </w:rPr>
            </w:pPr>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r>
              <w:rPr>
                <w:rFonts w:hint="eastAsia" w:eastAsia="Times New Roman"/>
                <w:color w:val="000000"/>
                <w:sz w:val="20"/>
                <w:szCs w:val="20"/>
                <w:lang w:val="fi-FI" w:eastAsia="fi-FI"/>
              </w:rPr>
              <w:t>6.3A</w:t>
            </w:r>
            <w:r>
              <w:rPr>
                <w:rFonts w:hint="eastAsia" w:eastAsia="Times New Roman"/>
                <w:color w:val="000000"/>
                <w:sz w:val="20"/>
                <w:szCs w:val="20"/>
                <w:lang w:val="fi-FI" w:eastAsia="fi-FI"/>
              </w:rPr>
              <w:tab/>
            </w:r>
            <w:r>
              <w:rPr>
                <w:rFonts w:hint="eastAsia" w:eastAsia="Times New Roman"/>
                <w:color w:val="000000"/>
                <w:sz w:val="20"/>
                <w:szCs w:val="20"/>
                <w:lang w:val="fi-FI" w:eastAsia="fi-FI"/>
              </w:rPr>
              <w:t>Output power dynamics for category M1</w:t>
            </w:r>
          </w:p>
        </w:tc>
        <w:tc>
          <w:tcPr>
            <w:tcW w:w="5651" w:type="dxa"/>
            <w:vMerge w:val="restart"/>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hint="eastAsia" w:eastAsia="Times New Roman"/>
                <w:color w:val="000000"/>
                <w:sz w:val="20"/>
                <w:szCs w:val="20"/>
                <w:lang w:val="fi-FI" w:eastAsia="fi-FI"/>
              </w:rPr>
            </w:pPr>
            <w:r>
              <w:rPr>
                <w:rFonts w:hint="eastAsia" w:eastAsia="Times New Roman"/>
                <w:color w:val="000000"/>
                <w:sz w:val="20"/>
                <w:szCs w:val="20"/>
                <w:lang w:val="fi-FI" w:eastAsia="fi-FI"/>
              </w:rPr>
              <w:t>6.3B</w:t>
            </w:r>
            <w:r>
              <w:rPr>
                <w:rFonts w:hint="eastAsia" w:eastAsia="Times New Roman"/>
                <w:color w:val="000000"/>
                <w:sz w:val="20"/>
                <w:szCs w:val="20"/>
                <w:lang w:val="fi-FI" w:eastAsia="fi-FI"/>
              </w:rPr>
              <w:tab/>
            </w:r>
            <w:r>
              <w:rPr>
                <w:rFonts w:hint="eastAsia" w:eastAsia="Times New Roman"/>
                <w:color w:val="000000"/>
                <w:sz w:val="20"/>
                <w:szCs w:val="20"/>
                <w:lang w:val="fi-FI" w:eastAsia="fi-FI"/>
              </w:rPr>
              <w:t>Output power dynamics for category NB1 and NB2</w:t>
            </w:r>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79" w:name="_Toc121162838"/>
            <w:bookmarkStart w:id="80" w:name="_Toc153138234"/>
            <w:bookmarkStart w:id="81" w:name="_Toc137386378"/>
            <w:bookmarkStart w:id="82" w:name="_Toc163213871"/>
            <w:bookmarkStart w:id="83" w:name="_Toc121827719"/>
            <w:bookmarkStart w:id="84" w:name="_Toc145029493"/>
            <w:bookmarkStart w:id="85" w:name="_Toc138894782"/>
            <w:bookmarkStart w:id="86" w:name="_Toc137401258"/>
            <w:bookmarkStart w:id="87" w:name="_Toc163214348"/>
            <w:bookmarkStart w:id="88" w:name="_Toc124177974"/>
            <w:bookmarkStart w:id="89" w:name="_Toc153136040"/>
            <w:bookmarkStart w:id="90" w:name="_Toc161928649"/>
            <w:bookmarkStart w:id="91" w:name="_Toc124177547"/>
            <w:bookmarkStart w:id="92" w:name="_Toc120570046"/>
            <w:bookmarkStart w:id="93" w:name="_Toc130826101"/>
            <w:r>
              <w:rPr>
                <w:rFonts w:eastAsia="Times New Roman"/>
                <w:color w:val="000000"/>
                <w:sz w:val="20"/>
                <w:szCs w:val="20"/>
                <w:lang w:val="fi-FI" w:eastAsia="fi-FI"/>
              </w:rPr>
              <w:t>6.4A</w:t>
            </w:r>
            <w:r>
              <w:rPr>
                <w:rFonts w:eastAsia="Times New Roman"/>
                <w:color w:val="000000"/>
                <w:sz w:val="20"/>
                <w:szCs w:val="20"/>
                <w:lang w:val="fi-FI" w:eastAsia="fi-FI"/>
              </w:rPr>
              <w:tab/>
            </w:r>
            <w:r>
              <w:rPr>
                <w:rFonts w:eastAsia="Times New Roman"/>
                <w:color w:val="000000"/>
                <w:sz w:val="20"/>
                <w:szCs w:val="20"/>
                <w:lang w:val="fi-FI" w:eastAsia="fi-FI"/>
              </w:rPr>
              <w:t>Transmit signal quality for category M1</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spacing w:after="0"/>
              <w:rPr>
                <w:rFonts w:eastAsia="Times New Roman"/>
                <w:color w:val="000000"/>
                <w:sz w:val="20"/>
                <w:szCs w:val="20"/>
                <w:lang w:val="fi-FI" w:eastAsia="fi-FI"/>
              </w:rPr>
            </w:pPr>
          </w:p>
        </w:tc>
        <w:tc>
          <w:tcPr>
            <w:tcW w:w="5651" w:type="dxa"/>
            <w:vMerge w:val="restart"/>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94" w:name="_Toc161928652"/>
            <w:bookmarkStart w:id="95" w:name="_Toc130826104"/>
            <w:bookmarkStart w:id="96" w:name="_Toc121827722"/>
            <w:bookmarkStart w:id="97" w:name="_Toc163214351"/>
            <w:bookmarkStart w:id="98" w:name="_Toc121162841"/>
            <w:bookmarkStart w:id="99" w:name="_Toc153138237"/>
            <w:bookmarkStart w:id="100" w:name="_Toc120570049"/>
            <w:bookmarkStart w:id="101" w:name="_Toc163213874"/>
            <w:bookmarkStart w:id="102" w:name="_Toc153136043"/>
            <w:bookmarkStart w:id="103" w:name="_Toc145029496"/>
            <w:bookmarkStart w:id="104" w:name="_Toc124177977"/>
            <w:bookmarkStart w:id="105" w:name="_Toc124177550"/>
            <w:bookmarkStart w:id="106" w:name="_Toc137401261"/>
            <w:bookmarkStart w:id="107" w:name="_Toc138894785"/>
            <w:bookmarkStart w:id="108" w:name="_Toc137386381"/>
            <w:r>
              <w:rPr>
                <w:rFonts w:eastAsia="Times New Roman"/>
                <w:color w:val="000000"/>
                <w:sz w:val="20"/>
                <w:szCs w:val="20"/>
                <w:lang w:val="fi-FI" w:eastAsia="fi-FI"/>
              </w:rPr>
              <w:t>6.4B</w:t>
            </w:r>
            <w:r>
              <w:rPr>
                <w:rFonts w:eastAsia="Times New Roman"/>
                <w:color w:val="000000"/>
                <w:sz w:val="20"/>
                <w:szCs w:val="20"/>
                <w:lang w:val="fi-FI" w:eastAsia="fi-FI"/>
              </w:rPr>
              <w:tab/>
            </w:r>
            <w:r>
              <w:rPr>
                <w:rFonts w:eastAsia="Times New Roman"/>
                <w:color w:val="000000"/>
                <w:sz w:val="20"/>
                <w:szCs w:val="20"/>
                <w:lang w:val="fi-FI" w:eastAsia="fi-FI"/>
              </w:rPr>
              <w:t>Transmit signal quality for category NB1 and NB2</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spacing w:after="0"/>
              <w:rPr>
                <w:rFonts w:eastAsia="Times New Roman"/>
                <w:color w:val="000000"/>
                <w:sz w:val="20"/>
                <w:szCs w:val="20"/>
                <w:lang w:val="fi-FI" w:eastAsia="fi-FI"/>
              </w:rPr>
            </w:pPr>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4149" w:type="dxa"/>
            <w:shd w:val="clear" w:color="000000" w:fill="FFFFFF"/>
            <w:vAlign w:val="center"/>
          </w:tcPr>
          <w:p>
            <w:pPr>
              <w:spacing w:after="0"/>
              <w:rPr>
                <w:rFonts w:hint="default" w:eastAsia="宋体"/>
                <w:color w:val="000000"/>
                <w:sz w:val="20"/>
                <w:szCs w:val="20"/>
                <w:lang w:val="en-US" w:eastAsia="zh-CN"/>
              </w:rPr>
            </w:pPr>
            <w:r>
              <w:rPr>
                <w:rFonts w:eastAsia="Times New Roman"/>
                <w:color w:val="000000"/>
                <w:sz w:val="20"/>
                <w:szCs w:val="20"/>
                <w:lang w:val="fi-FI" w:eastAsia="fi-FI"/>
              </w:rPr>
              <w:t>6.4.2</w:t>
            </w:r>
            <w:r>
              <w:rPr>
                <w:rFonts w:hint="eastAsia" w:eastAsia="宋体"/>
                <w:color w:val="000000"/>
                <w:sz w:val="20"/>
                <w:szCs w:val="20"/>
                <w:lang w:val="en-US" w:eastAsia="zh-CN"/>
              </w:rPr>
              <w:t xml:space="preserve"> Transmit modulation quality</w:t>
            </w:r>
          </w:p>
        </w:tc>
        <w:tc>
          <w:tcPr>
            <w:tcW w:w="5651" w:type="dxa"/>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109" w:name="_Toc137401267"/>
            <w:bookmarkStart w:id="110" w:name="_Toc161928658"/>
            <w:bookmarkStart w:id="111" w:name="_Toc153136049"/>
            <w:bookmarkStart w:id="112" w:name="_Toc138894791"/>
            <w:bookmarkStart w:id="113" w:name="_Toc163213880"/>
            <w:bookmarkStart w:id="114" w:name="_Toc163214357"/>
            <w:bookmarkStart w:id="115" w:name="_Toc124177983"/>
            <w:bookmarkStart w:id="116" w:name="_Toc124177556"/>
            <w:bookmarkStart w:id="117" w:name="_Toc137386387"/>
            <w:bookmarkStart w:id="118" w:name="_Toc145029502"/>
            <w:bookmarkStart w:id="119" w:name="_Toc153138243"/>
            <w:bookmarkStart w:id="120" w:name="_Toc121827728"/>
            <w:bookmarkStart w:id="121" w:name="_Toc120570055"/>
            <w:bookmarkStart w:id="122" w:name="_Toc130826110"/>
            <w:bookmarkStart w:id="123" w:name="_Toc121162847"/>
            <w:r>
              <w:t>6.5A.2</w:t>
            </w:r>
            <w:r>
              <w:tab/>
            </w:r>
            <w:r>
              <w:t>Occupied bandwidth for category M1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c>
        <w:tc>
          <w:tcPr>
            <w:tcW w:w="5651" w:type="dxa"/>
            <w:vMerge w:val="restart"/>
            <w:shd w:val="clear" w:color="auto" w:fill="auto"/>
            <w:vAlign w:val="center"/>
          </w:tcPr>
          <w:p>
            <w:pPr>
              <w:spacing w:after="0"/>
              <w:rPr>
                <w:rFonts w:hint="eastAsia"/>
                <w:color w:val="000000"/>
                <w:sz w:val="20"/>
                <w:szCs w:val="20"/>
                <w:lang w:val="en-US"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25" w:hRule="atLeast"/>
        </w:trPr>
        <w:tc>
          <w:tcPr>
            <w:tcW w:w="4149" w:type="dxa"/>
            <w:shd w:val="clear" w:color="000000" w:fill="FFFFFF"/>
            <w:vAlign w:val="center"/>
          </w:tcPr>
          <w:p>
            <w:pPr>
              <w:spacing w:after="0"/>
              <w:rPr>
                <w:rFonts w:eastAsia="Times New Roman"/>
                <w:color w:val="000000"/>
                <w:sz w:val="20"/>
                <w:szCs w:val="20"/>
                <w:lang w:val="fi-FI" w:eastAsia="fi-FI"/>
              </w:rPr>
            </w:pPr>
            <w:bookmarkStart w:id="124" w:name="_Toc137401283"/>
            <w:bookmarkStart w:id="125" w:name="_Toc121162863"/>
            <w:bookmarkStart w:id="126" w:name="_Toc130826126"/>
            <w:bookmarkStart w:id="127" w:name="_Toc163214376"/>
            <w:bookmarkStart w:id="128" w:name="_Toc153136065"/>
            <w:bookmarkStart w:id="129" w:name="_Toc120570071"/>
            <w:bookmarkStart w:id="130" w:name="_Toc124177572"/>
            <w:bookmarkStart w:id="131" w:name="_Toc163213899"/>
            <w:bookmarkStart w:id="132" w:name="_Toc124177999"/>
            <w:bookmarkStart w:id="133" w:name="_Toc137386403"/>
            <w:bookmarkStart w:id="134" w:name="_Toc161928677"/>
            <w:bookmarkStart w:id="135" w:name="_Toc121827744"/>
            <w:bookmarkStart w:id="136" w:name="_Toc138894807"/>
            <w:bookmarkStart w:id="137" w:name="_Toc145029518"/>
            <w:bookmarkStart w:id="138" w:name="_Toc153138262"/>
            <w:r>
              <w:rPr>
                <w:rFonts w:eastAsia="Times New Roman"/>
                <w:color w:val="000000"/>
                <w:sz w:val="20"/>
                <w:szCs w:val="20"/>
                <w:lang w:val="fi-FI" w:eastAsia="fi-FI"/>
              </w:rPr>
              <w:t>6.5B.</w:t>
            </w:r>
            <w:r>
              <w:rPr>
                <w:rFonts w:hint="eastAsia" w:eastAsia="Times New Roman"/>
                <w:color w:val="000000"/>
                <w:sz w:val="20"/>
                <w:szCs w:val="20"/>
                <w:lang w:val="fi-FI" w:eastAsia="zh-TW"/>
              </w:rPr>
              <w:t>2</w:t>
            </w:r>
            <w:r>
              <w:rPr>
                <w:rFonts w:eastAsia="Times New Roman"/>
                <w:color w:val="000000"/>
                <w:sz w:val="20"/>
                <w:szCs w:val="20"/>
                <w:lang w:val="fi-FI" w:eastAsia="fi-FI"/>
              </w:rPr>
              <w:tab/>
            </w:r>
            <w:r>
              <w:rPr>
                <w:rFonts w:eastAsia="Times New Roman"/>
                <w:color w:val="000000"/>
                <w:sz w:val="20"/>
                <w:szCs w:val="20"/>
                <w:lang w:val="fi-FI" w:eastAsia="fi-FI"/>
              </w:rPr>
              <w:t>Occupied bandwidth for category NB1 and NB2</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139" w:name="_Toc111062060"/>
            <w:bookmarkStart w:id="140" w:name="_Toc163213883"/>
            <w:bookmarkStart w:id="141" w:name="_Toc121162850"/>
            <w:bookmarkStart w:id="142" w:name="_Toc137386390"/>
            <w:bookmarkStart w:id="143" w:name="_Toc120570058"/>
            <w:bookmarkStart w:id="144" w:name="_Toc153138246"/>
            <w:bookmarkStart w:id="145" w:name="_Toc124177986"/>
            <w:bookmarkStart w:id="146" w:name="_Toc124177559"/>
            <w:bookmarkStart w:id="147" w:name="_Toc121827731"/>
            <w:bookmarkStart w:id="148" w:name="_Toc130826113"/>
            <w:bookmarkStart w:id="149" w:name="_Toc163214360"/>
            <w:bookmarkStart w:id="150" w:name="_Toc161928661"/>
            <w:bookmarkStart w:id="151" w:name="_Toc137401270"/>
            <w:bookmarkStart w:id="152" w:name="_Toc153136052"/>
            <w:bookmarkStart w:id="153" w:name="_Toc138894794"/>
            <w:bookmarkStart w:id="154" w:name="_Toc145029505"/>
            <w:r>
              <w:rPr>
                <w:rFonts w:eastAsia="Times New Roman"/>
                <w:color w:val="000000"/>
                <w:sz w:val="20"/>
                <w:szCs w:val="20"/>
                <w:lang w:val="fi-FI" w:eastAsia="fi-FI"/>
              </w:rPr>
              <w:t>6.5A.3.2</w:t>
            </w:r>
            <w:r>
              <w:rPr>
                <w:rFonts w:eastAsia="Times New Roman"/>
                <w:color w:val="000000"/>
                <w:sz w:val="20"/>
                <w:szCs w:val="20"/>
                <w:lang w:val="fi-FI" w:eastAsia="fi-FI"/>
              </w:rPr>
              <w:tab/>
            </w:r>
            <w:r>
              <w:rPr>
                <w:rFonts w:eastAsia="Times New Roman"/>
                <w:color w:val="000000"/>
                <w:sz w:val="20"/>
                <w:szCs w:val="20"/>
                <w:lang w:val="fi-FI" w:eastAsia="fi-FI"/>
              </w:rPr>
              <w:t>Spectrum emission mask</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tc>
        <w:tc>
          <w:tcPr>
            <w:tcW w:w="5651" w:type="dxa"/>
            <w:vMerge w:val="restart"/>
            <w:shd w:val="clear" w:color="000000" w:fill="FFFFFF"/>
            <w:vAlign w:val="center"/>
          </w:tcPr>
          <w:p>
            <w:pPr>
              <w:spacing w:after="0"/>
              <w:rPr>
                <w:rFonts w:hint="eastAsia"/>
                <w:color w:val="000000"/>
                <w:sz w:val="20"/>
                <w:szCs w:val="20"/>
                <w:lang w:val="en-US"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155" w:name="_Toc124177575"/>
            <w:bookmarkStart w:id="156" w:name="_Toc121827747"/>
            <w:bookmarkStart w:id="157" w:name="_Toc124178002"/>
            <w:bookmarkStart w:id="158" w:name="_Toc145029521"/>
            <w:bookmarkStart w:id="159" w:name="_Toc153138265"/>
            <w:bookmarkStart w:id="160" w:name="_Toc130826129"/>
            <w:bookmarkStart w:id="161" w:name="_Toc121162866"/>
            <w:bookmarkStart w:id="162" w:name="_Toc153136068"/>
            <w:bookmarkStart w:id="163" w:name="_Toc120570074"/>
            <w:bookmarkStart w:id="164" w:name="_Toc137401286"/>
            <w:bookmarkStart w:id="165" w:name="_Toc163214379"/>
            <w:bookmarkStart w:id="166" w:name="_Toc138894810"/>
            <w:bookmarkStart w:id="167" w:name="_Toc163213902"/>
            <w:bookmarkStart w:id="168" w:name="_Toc161928680"/>
            <w:bookmarkStart w:id="169" w:name="_Toc137386406"/>
            <w:bookmarkStart w:id="170" w:name="_Toc111062064"/>
            <w:r>
              <w:rPr>
                <w:rFonts w:eastAsia="Times New Roman"/>
                <w:color w:val="000000"/>
                <w:sz w:val="20"/>
                <w:szCs w:val="20"/>
                <w:lang w:val="fi-FI" w:eastAsia="fi-FI"/>
              </w:rPr>
              <w:t>6.5B.3.2</w:t>
            </w:r>
            <w:r>
              <w:rPr>
                <w:rFonts w:eastAsia="Times New Roman"/>
                <w:color w:val="000000"/>
                <w:sz w:val="20"/>
                <w:szCs w:val="20"/>
                <w:lang w:val="fi-FI" w:eastAsia="fi-FI"/>
              </w:rPr>
              <w:tab/>
            </w:r>
            <w:r>
              <w:rPr>
                <w:rFonts w:eastAsia="Times New Roman"/>
                <w:color w:val="000000"/>
                <w:sz w:val="20"/>
                <w:szCs w:val="20"/>
                <w:lang w:val="fi-FI" w:eastAsia="fi-FI"/>
              </w:rPr>
              <w:t>Spectrum emission mask</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tc>
        <w:tc>
          <w:tcPr>
            <w:tcW w:w="5651" w:type="dxa"/>
            <w:vMerge w:val="continue"/>
            <w:shd w:val="clear" w:color="000000" w:fill="FFFFFF"/>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171" w:name="_Toc111062061"/>
            <w:bookmarkStart w:id="172" w:name="_Toc124177987"/>
            <w:bookmarkStart w:id="173" w:name="_Toc163214361"/>
            <w:bookmarkStart w:id="174" w:name="_Toc130826114"/>
            <w:bookmarkStart w:id="175" w:name="_Toc161928662"/>
            <w:bookmarkStart w:id="176" w:name="_Toc163213884"/>
            <w:bookmarkStart w:id="177" w:name="_Toc137386391"/>
            <w:bookmarkStart w:id="178" w:name="_Toc145029506"/>
            <w:bookmarkStart w:id="179" w:name="_Toc124177560"/>
            <w:bookmarkStart w:id="180" w:name="_Toc121827732"/>
            <w:bookmarkStart w:id="181" w:name="_Toc153136053"/>
            <w:bookmarkStart w:id="182" w:name="_Toc121162851"/>
            <w:bookmarkStart w:id="183" w:name="_Toc120570059"/>
            <w:bookmarkStart w:id="184" w:name="_Toc137401271"/>
            <w:bookmarkStart w:id="185" w:name="_Toc153138247"/>
            <w:bookmarkStart w:id="186" w:name="_Toc138894795"/>
            <w:r>
              <w:rPr>
                <w:rFonts w:eastAsia="Times New Roman"/>
                <w:color w:val="000000"/>
                <w:sz w:val="20"/>
                <w:szCs w:val="20"/>
                <w:lang w:val="fi-FI" w:eastAsia="fi-FI"/>
              </w:rPr>
              <w:t>6.5A.3.3</w:t>
            </w:r>
            <w:r>
              <w:rPr>
                <w:rFonts w:eastAsia="Times New Roman"/>
                <w:color w:val="000000"/>
                <w:sz w:val="20"/>
                <w:szCs w:val="20"/>
                <w:lang w:val="fi-FI" w:eastAsia="fi-FI"/>
              </w:rPr>
              <w:tab/>
            </w:r>
            <w:r>
              <w:rPr>
                <w:rFonts w:eastAsia="Times New Roman"/>
                <w:color w:val="000000"/>
                <w:sz w:val="20"/>
                <w:szCs w:val="20"/>
                <w:lang w:val="fi-FI" w:eastAsia="fi-FI"/>
              </w:rPr>
              <w:t>Additional Spectrum Emission Mask</w:t>
            </w:r>
            <w:bookmarkEnd w:id="171"/>
            <w:r>
              <w:rPr>
                <w:rFonts w:eastAsia="Times New Roman"/>
                <w:color w:val="000000"/>
                <w:sz w:val="20"/>
                <w:szCs w:val="20"/>
                <w:lang w:val="fi-FI" w:eastAsia="fi-FI"/>
              </w:rPr>
              <w:t xml:space="preserve"> for category M1</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tc>
        <w:tc>
          <w:tcPr>
            <w:tcW w:w="5651" w:type="dxa"/>
            <w:vMerge w:val="restart"/>
            <w:shd w:val="clear" w:color="000000" w:fill="FFFFFF"/>
            <w:vAlign w:val="center"/>
          </w:tcPr>
          <w:p>
            <w:pPr>
              <w:spacing w:after="0"/>
              <w:rPr>
                <w:rFonts w:hint="default"/>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187" w:name="_Toc138894811"/>
            <w:bookmarkStart w:id="188" w:name="_Toc153138266"/>
            <w:bookmarkStart w:id="189" w:name="_Toc137401287"/>
            <w:bookmarkStart w:id="190" w:name="_Toc130826130"/>
            <w:bookmarkStart w:id="191" w:name="_Toc161928681"/>
            <w:bookmarkStart w:id="192" w:name="_Toc153136069"/>
            <w:bookmarkStart w:id="193" w:name="_Toc137386407"/>
            <w:bookmarkStart w:id="194" w:name="_Toc120570075"/>
            <w:bookmarkStart w:id="195" w:name="_Toc121827748"/>
            <w:bookmarkStart w:id="196" w:name="_Toc163214380"/>
            <w:bookmarkStart w:id="197" w:name="_Toc111062065"/>
            <w:bookmarkStart w:id="198" w:name="_Toc124178003"/>
            <w:bookmarkStart w:id="199" w:name="_Toc124177576"/>
            <w:bookmarkStart w:id="200" w:name="_Toc163213903"/>
            <w:bookmarkStart w:id="201" w:name="_Toc121162867"/>
            <w:bookmarkStart w:id="202" w:name="_Toc145029522"/>
            <w:r>
              <w:rPr>
                <w:rFonts w:eastAsia="Times New Roman"/>
                <w:color w:val="000000"/>
                <w:sz w:val="20"/>
                <w:szCs w:val="20"/>
                <w:lang w:val="fi-FI" w:eastAsia="fi-FI"/>
              </w:rPr>
              <w:t>6.5B.3.3</w:t>
            </w:r>
            <w:r>
              <w:rPr>
                <w:rFonts w:eastAsia="Times New Roman"/>
                <w:color w:val="000000"/>
                <w:sz w:val="20"/>
                <w:szCs w:val="20"/>
                <w:lang w:val="fi-FI" w:eastAsia="fi-FI"/>
              </w:rPr>
              <w:tab/>
            </w:r>
            <w:r>
              <w:rPr>
                <w:rFonts w:eastAsia="Times New Roman"/>
                <w:color w:val="000000"/>
                <w:sz w:val="20"/>
                <w:szCs w:val="20"/>
                <w:lang w:val="fi-FI" w:eastAsia="fi-FI"/>
              </w:rPr>
              <w:t>Additional Spectrum Emission Mask for category NB1 and NB2</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tc>
        <w:tc>
          <w:tcPr>
            <w:tcW w:w="5651" w:type="dxa"/>
            <w:vMerge w:val="continue"/>
            <w:shd w:val="clear" w:color="000000" w:fill="FFFFFF"/>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203" w:name="_Toc111062062"/>
            <w:bookmarkStart w:id="204" w:name="_Toc153138248"/>
            <w:bookmarkStart w:id="205" w:name="_Toc163214362"/>
            <w:bookmarkStart w:id="206" w:name="_Toc153136054"/>
            <w:bookmarkStart w:id="207" w:name="_Toc121827733"/>
            <w:bookmarkStart w:id="208" w:name="_Toc145029507"/>
            <w:bookmarkStart w:id="209" w:name="_Toc130826115"/>
            <w:bookmarkStart w:id="210" w:name="_Toc138894796"/>
            <w:bookmarkStart w:id="211" w:name="_Toc124177988"/>
            <w:bookmarkStart w:id="212" w:name="_Toc137386392"/>
            <w:bookmarkStart w:id="213" w:name="_Toc121162852"/>
            <w:bookmarkStart w:id="214" w:name="_Toc163213885"/>
            <w:bookmarkStart w:id="215" w:name="_Toc120570060"/>
            <w:bookmarkStart w:id="216" w:name="_Toc137401272"/>
            <w:bookmarkStart w:id="217" w:name="_Toc161928663"/>
            <w:bookmarkStart w:id="218" w:name="_Toc124177561"/>
            <w:r>
              <w:rPr>
                <w:rFonts w:eastAsia="Times New Roman"/>
                <w:color w:val="000000"/>
                <w:sz w:val="20"/>
                <w:szCs w:val="20"/>
                <w:lang w:val="fi-FI" w:eastAsia="fi-FI"/>
              </w:rPr>
              <w:t>6.5A.3.4</w:t>
            </w:r>
            <w:r>
              <w:rPr>
                <w:rFonts w:eastAsia="Times New Roman"/>
                <w:color w:val="000000"/>
                <w:sz w:val="20"/>
                <w:szCs w:val="20"/>
                <w:lang w:val="fi-FI" w:eastAsia="fi-FI"/>
              </w:rPr>
              <w:tab/>
            </w:r>
            <w:r>
              <w:rPr>
                <w:rFonts w:eastAsia="Times New Roman"/>
                <w:color w:val="000000"/>
                <w:sz w:val="20"/>
                <w:szCs w:val="20"/>
                <w:lang w:val="fi-FI" w:eastAsia="fi-FI"/>
              </w:rPr>
              <w:t>Adjacent Channel Leakage Ratio</w:t>
            </w:r>
            <w:bookmarkEnd w:id="203"/>
            <w:r>
              <w:rPr>
                <w:rFonts w:eastAsia="Times New Roman"/>
                <w:color w:val="000000"/>
                <w:sz w:val="20"/>
                <w:szCs w:val="20"/>
                <w:lang w:val="fi-FI" w:eastAsia="fi-FI"/>
              </w:rPr>
              <w:t xml:space="preserve"> for category M1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tc>
        <w:tc>
          <w:tcPr>
            <w:tcW w:w="5651" w:type="dxa"/>
            <w:vMerge w:val="restart"/>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219" w:name="_Toc163213904"/>
            <w:bookmarkStart w:id="220" w:name="_Toc145029523"/>
            <w:bookmarkStart w:id="221" w:name="_Toc111062066"/>
            <w:bookmarkStart w:id="222" w:name="_Toc130826131"/>
            <w:bookmarkStart w:id="223" w:name="_Toc137386408"/>
            <w:bookmarkStart w:id="224" w:name="_Toc121162868"/>
            <w:bookmarkStart w:id="225" w:name="_Toc153136070"/>
            <w:bookmarkStart w:id="226" w:name="_Toc120570076"/>
            <w:bookmarkStart w:id="227" w:name="_Toc153138267"/>
            <w:bookmarkStart w:id="228" w:name="_Toc121827749"/>
            <w:bookmarkStart w:id="229" w:name="_Toc138894812"/>
            <w:bookmarkStart w:id="230" w:name="_Toc161928682"/>
            <w:bookmarkStart w:id="231" w:name="_Toc137401288"/>
            <w:bookmarkStart w:id="232" w:name="_Toc124177577"/>
            <w:bookmarkStart w:id="233" w:name="_Toc163214381"/>
            <w:bookmarkStart w:id="234" w:name="_Toc124178004"/>
            <w:r>
              <w:rPr>
                <w:rFonts w:eastAsia="Times New Roman"/>
                <w:color w:val="000000"/>
                <w:sz w:val="20"/>
                <w:szCs w:val="20"/>
                <w:lang w:val="fi-FI" w:eastAsia="fi-FI"/>
              </w:rPr>
              <w:t>6.5B.3.4</w:t>
            </w:r>
            <w:r>
              <w:rPr>
                <w:rFonts w:eastAsia="Times New Roman"/>
                <w:color w:val="000000"/>
                <w:sz w:val="20"/>
                <w:szCs w:val="20"/>
                <w:lang w:val="fi-FI" w:eastAsia="fi-FI"/>
              </w:rPr>
              <w:tab/>
            </w:r>
            <w:r>
              <w:rPr>
                <w:rFonts w:eastAsia="Times New Roman"/>
                <w:color w:val="000000"/>
                <w:sz w:val="20"/>
                <w:szCs w:val="20"/>
                <w:lang w:val="fi-FI" w:eastAsia="fi-FI"/>
              </w:rPr>
              <w:t>Adjacent Channel Leakage Ratio for category NB1 and NB2</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tc>
        <w:tc>
          <w:tcPr>
            <w:tcW w:w="5651" w:type="dxa"/>
            <w:vMerge w:val="continue"/>
            <w:shd w:val="clear" w:color="000000" w:fill="FFFFFF"/>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235" w:name="_Toc153138251"/>
            <w:bookmarkStart w:id="236" w:name="_Toc121827736"/>
            <w:bookmarkStart w:id="237" w:name="_Toc153136057"/>
            <w:bookmarkStart w:id="238" w:name="_Toc124177564"/>
            <w:bookmarkStart w:id="239" w:name="_Toc137386395"/>
            <w:bookmarkStart w:id="240" w:name="_Toc120570063"/>
            <w:bookmarkStart w:id="241" w:name="_Toc145029510"/>
            <w:bookmarkStart w:id="242" w:name="_Toc124177991"/>
            <w:bookmarkStart w:id="243" w:name="_Toc163213888"/>
            <w:bookmarkStart w:id="244" w:name="_Toc137401275"/>
            <w:bookmarkStart w:id="245" w:name="_Toc121162855"/>
            <w:bookmarkStart w:id="246" w:name="_Toc161928666"/>
            <w:bookmarkStart w:id="247" w:name="_Toc163214365"/>
            <w:bookmarkStart w:id="248" w:name="_Toc138894799"/>
            <w:bookmarkStart w:id="249" w:name="_Toc130826118"/>
            <w:r>
              <w:rPr>
                <w:rFonts w:eastAsia="Times New Roman"/>
                <w:color w:val="000000"/>
                <w:sz w:val="20"/>
                <w:szCs w:val="20"/>
                <w:lang w:val="fi-FI" w:eastAsia="fi-FI"/>
              </w:rPr>
              <w:t>6.5A.4.2</w:t>
            </w:r>
            <w:r>
              <w:rPr>
                <w:rFonts w:eastAsia="Times New Roman"/>
                <w:color w:val="000000"/>
                <w:sz w:val="20"/>
                <w:szCs w:val="20"/>
                <w:lang w:val="fi-FI" w:eastAsia="fi-FI"/>
              </w:rPr>
              <w:tab/>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Pr>
                <w:rFonts w:eastAsia="Times New Roman"/>
                <w:color w:val="000000"/>
                <w:sz w:val="20"/>
                <w:szCs w:val="20"/>
                <w:lang w:val="fi-FI" w:eastAsia="fi-FI"/>
              </w:rPr>
              <w:t>General spurious emissions</w:t>
            </w:r>
          </w:p>
        </w:tc>
        <w:tc>
          <w:tcPr>
            <w:tcW w:w="5651" w:type="dxa"/>
            <w:vMerge w:val="restart"/>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w:t>
            </w:r>
            <w:r>
              <w:rPr>
                <w:rFonts w:hint="eastAsia" w:eastAsia="Times New Roman"/>
                <w:color w:val="000000"/>
                <w:sz w:val="20"/>
                <w:szCs w:val="20"/>
                <w:lang w:val="en-US" w:eastAsia="zh-CN"/>
              </w:rPr>
              <w:t>B</w:t>
            </w:r>
            <w:r>
              <w:rPr>
                <w:rFonts w:eastAsia="Times New Roman"/>
                <w:color w:val="000000"/>
                <w:sz w:val="20"/>
                <w:szCs w:val="20"/>
                <w:lang w:val="fi-FI" w:eastAsia="fi-FI"/>
              </w:rPr>
              <w:t>.4.2</w:t>
            </w:r>
            <w:r>
              <w:rPr>
                <w:rFonts w:eastAsia="Times New Roman"/>
                <w:color w:val="000000"/>
                <w:sz w:val="20"/>
                <w:szCs w:val="20"/>
                <w:lang w:val="fi-FI" w:eastAsia="fi-FI"/>
              </w:rPr>
              <w:tab/>
            </w:r>
            <w:r>
              <w:rPr>
                <w:rFonts w:eastAsia="Times New Roman"/>
                <w:color w:val="000000"/>
                <w:sz w:val="20"/>
                <w:szCs w:val="20"/>
                <w:lang w:val="fi-FI" w:eastAsia="fi-FI"/>
              </w:rPr>
              <w:t>General spurious emissions</w:t>
            </w:r>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250" w:name="_Toc153138252"/>
            <w:bookmarkStart w:id="251" w:name="_Toc161928667"/>
            <w:bookmarkStart w:id="252" w:name="_Toc138894800"/>
            <w:bookmarkStart w:id="253" w:name="_Toc120570064"/>
            <w:bookmarkStart w:id="254" w:name="_Toc137401276"/>
            <w:bookmarkStart w:id="255" w:name="_Toc163213889"/>
            <w:bookmarkStart w:id="256" w:name="_Toc137386396"/>
            <w:bookmarkStart w:id="257" w:name="_Toc153136058"/>
            <w:bookmarkStart w:id="258" w:name="_Toc130826119"/>
            <w:bookmarkStart w:id="259" w:name="_Toc121827737"/>
            <w:bookmarkStart w:id="260" w:name="_Toc124177992"/>
            <w:bookmarkStart w:id="261" w:name="_Toc124177565"/>
            <w:bookmarkStart w:id="262" w:name="_Toc145029511"/>
            <w:bookmarkStart w:id="263" w:name="_Toc121162856"/>
            <w:bookmarkStart w:id="264" w:name="_Toc163214366"/>
            <w:r>
              <w:rPr>
                <w:rFonts w:eastAsia="Times New Roman"/>
                <w:color w:val="000000"/>
                <w:sz w:val="20"/>
                <w:szCs w:val="20"/>
                <w:lang w:val="fi-FI" w:eastAsia="fi-FI"/>
              </w:rPr>
              <w:t>6.5A.4.3</w:t>
            </w:r>
            <w:r>
              <w:rPr>
                <w:rFonts w:eastAsia="Times New Roman"/>
                <w:color w:val="000000"/>
                <w:sz w:val="20"/>
                <w:szCs w:val="20"/>
                <w:lang w:val="fi-FI" w:eastAsia="fi-FI"/>
              </w:rPr>
              <w:tab/>
            </w:r>
            <w:r>
              <w:rPr>
                <w:rFonts w:eastAsia="Times New Roman"/>
                <w:color w:val="000000"/>
                <w:sz w:val="20"/>
                <w:szCs w:val="20"/>
                <w:lang w:val="fi-FI" w:eastAsia="fi-FI"/>
              </w:rPr>
              <w:t>Spurious emission band UE co-existence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tc>
        <w:tc>
          <w:tcPr>
            <w:tcW w:w="5651" w:type="dxa"/>
            <w:vMerge w:val="restart"/>
            <w:shd w:val="clear" w:color="auto" w:fill="auto"/>
            <w:vAlign w:val="center"/>
          </w:tcPr>
          <w:p>
            <w:pPr>
              <w:spacing w:after="0"/>
              <w:rPr>
                <w:rFonts w:hint="eastAsia"/>
                <w:color w:val="000000"/>
                <w:sz w:val="20"/>
                <w:szCs w:val="20"/>
                <w:lang w:val="en-US"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265" w:name="_Toc120570065"/>
            <w:bookmarkStart w:id="266" w:name="_Toc137386397"/>
            <w:bookmarkStart w:id="267" w:name="_Toc153136059"/>
            <w:bookmarkStart w:id="268" w:name="_Toc161928668"/>
            <w:bookmarkStart w:id="269" w:name="_Toc124177566"/>
            <w:bookmarkStart w:id="270" w:name="_Toc163214367"/>
            <w:bookmarkStart w:id="271" w:name="_Toc124177993"/>
            <w:bookmarkStart w:id="272" w:name="_Toc121827738"/>
            <w:bookmarkStart w:id="273" w:name="_Toc138894801"/>
            <w:bookmarkStart w:id="274" w:name="_Toc145029512"/>
            <w:bookmarkStart w:id="275" w:name="_Toc137401277"/>
            <w:bookmarkStart w:id="276" w:name="_Toc121162857"/>
            <w:bookmarkStart w:id="277" w:name="_Toc163213890"/>
            <w:bookmarkStart w:id="278" w:name="_Toc130826120"/>
            <w:bookmarkStart w:id="279" w:name="_Toc153138253"/>
            <w:r>
              <w:rPr>
                <w:rFonts w:eastAsia="Times New Roman"/>
                <w:color w:val="000000"/>
                <w:sz w:val="20"/>
                <w:szCs w:val="20"/>
                <w:lang w:val="fi-FI" w:eastAsia="fi-FI"/>
              </w:rPr>
              <w:t>6.5</w:t>
            </w:r>
            <w:r>
              <w:rPr>
                <w:rFonts w:hint="eastAsia" w:eastAsia="Times New Roman"/>
                <w:color w:val="000000"/>
                <w:sz w:val="20"/>
                <w:szCs w:val="20"/>
                <w:lang w:val="en-US" w:eastAsia="zh-CN"/>
              </w:rPr>
              <w:t>B</w:t>
            </w:r>
            <w:r>
              <w:rPr>
                <w:rFonts w:eastAsia="Times New Roman"/>
                <w:color w:val="000000"/>
                <w:sz w:val="20"/>
                <w:szCs w:val="20"/>
                <w:lang w:val="fi-FI" w:eastAsia="fi-FI"/>
              </w:rPr>
              <w:t>.4.3</w:t>
            </w:r>
            <w:r>
              <w:rPr>
                <w:rFonts w:eastAsia="Times New Roman"/>
                <w:color w:val="000000"/>
                <w:sz w:val="20"/>
                <w:szCs w:val="20"/>
                <w:lang w:val="fi-FI" w:eastAsia="fi-FI"/>
              </w:rPr>
              <w:tab/>
            </w:r>
            <w:r>
              <w:rPr>
                <w:rFonts w:eastAsia="Times New Roman"/>
                <w:color w:val="000000"/>
                <w:sz w:val="20"/>
                <w:szCs w:val="20"/>
                <w:lang w:val="fi-FI" w:eastAsia="fi-FI"/>
              </w:rPr>
              <w:t>Spurious emission band UE co-existence</w:t>
            </w:r>
          </w:p>
        </w:tc>
        <w:tc>
          <w:tcPr>
            <w:tcW w:w="5651" w:type="dxa"/>
            <w:vMerge w:val="continue"/>
            <w:shd w:val="clear" w:color="auto" w:fill="auto"/>
            <w:vAlign w:val="center"/>
          </w:tcPr>
          <w:p>
            <w:pPr>
              <w:spacing w:after="0"/>
              <w:rPr>
                <w:rFonts w:hint="eastAsia" w:eastAsia="宋体"/>
                <w:color w:val="00000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3" w:hRule="atLeast"/>
        </w:trPr>
        <w:tc>
          <w:tcPr>
            <w:tcW w:w="4149" w:type="dxa"/>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6.5A.4.4</w:t>
            </w:r>
            <w:r>
              <w:rPr>
                <w:rFonts w:eastAsia="Times New Roman"/>
                <w:color w:val="000000"/>
                <w:sz w:val="20"/>
                <w:szCs w:val="20"/>
                <w:lang w:val="fi-FI" w:eastAsia="fi-FI"/>
              </w:rPr>
              <w:tab/>
            </w:r>
            <w:r>
              <w:rPr>
                <w:rFonts w:eastAsia="Times New Roman"/>
                <w:color w:val="000000"/>
                <w:sz w:val="20"/>
                <w:szCs w:val="20"/>
                <w:lang w:val="fi-FI" w:eastAsia="fi-FI"/>
              </w:rPr>
              <w:t>Additional spurious emissions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c>
        <w:tc>
          <w:tcPr>
            <w:tcW w:w="5651" w:type="dxa"/>
            <w:vMerge w:val="restart"/>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3" w:hRule="atLeast"/>
        </w:trPr>
        <w:tc>
          <w:tcPr>
            <w:tcW w:w="4149" w:type="dxa"/>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w:t>
            </w:r>
            <w:r>
              <w:rPr>
                <w:rFonts w:hint="eastAsia" w:eastAsia="Times New Roman"/>
                <w:color w:val="000000"/>
                <w:sz w:val="20"/>
                <w:szCs w:val="20"/>
                <w:lang w:val="en-US" w:eastAsia="zh-CN"/>
              </w:rPr>
              <w:t>B</w:t>
            </w:r>
            <w:r>
              <w:rPr>
                <w:rFonts w:eastAsia="Times New Roman"/>
                <w:color w:val="000000"/>
                <w:sz w:val="20"/>
                <w:szCs w:val="20"/>
                <w:lang w:val="fi-FI" w:eastAsia="fi-FI"/>
              </w:rPr>
              <w:t>.4.4</w:t>
            </w:r>
            <w:r>
              <w:rPr>
                <w:rFonts w:eastAsia="Times New Roman"/>
                <w:color w:val="000000"/>
                <w:sz w:val="20"/>
                <w:szCs w:val="20"/>
                <w:lang w:val="fi-FI" w:eastAsia="fi-FI"/>
              </w:rPr>
              <w:tab/>
            </w:r>
            <w:r>
              <w:rPr>
                <w:rFonts w:eastAsia="Times New Roman"/>
                <w:color w:val="000000"/>
                <w:sz w:val="20"/>
                <w:szCs w:val="20"/>
                <w:lang w:val="fi-FI" w:eastAsia="fi-FI"/>
              </w:rPr>
              <w:t>Additional spurious emissions</w:t>
            </w:r>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280" w:name="_Toc121162878"/>
            <w:bookmarkStart w:id="281" w:name="_Toc163213917"/>
            <w:bookmarkStart w:id="282" w:name="_Toc120570086"/>
            <w:bookmarkStart w:id="283" w:name="_Toc161928695"/>
            <w:bookmarkStart w:id="284" w:name="_Toc121827759"/>
            <w:bookmarkStart w:id="285" w:name="_Toc124178014"/>
            <w:bookmarkStart w:id="286" w:name="_Toc163214394"/>
            <w:bookmarkStart w:id="287" w:name="_Toc153136080"/>
            <w:bookmarkStart w:id="288" w:name="_Toc153138280"/>
            <w:bookmarkStart w:id="289" w:name="_Toc137386418"/>
            <w:bookmarkStart w:id="290" w:name="_Toc130826141"/>
            <w:bookmarkStart w:id="291" w:name="_Toc145029533"/>
            <w:bookmarkStart w:id="292" w:name="_Toc137401298"/>
            <w:bookmarkStart w:id="293" w:name="_Toc124177587"/>
            <w:bookmarkStart w:id="294" w:name="_Toc138894822"/>
            <w:r>
              <w:rPr>
                <w:rFonts w:eastAsia="Times New Roman"/>
                <w:color w:val="000000"/>
                <w:sz w:val="20"/>
                <w:szCs w:val="20"/>
                <w:lang w:val="fi-FI" w:eastAsia="fi-FI"/>
              </w:rPr>
              <w:t>6.6A</w:t>
            </w:r>
            <w:r>
              <w:rPr>
                <w:rFonts w:hint="eastAsia" w:eastAsia="宋体"/>
                <w:color w:val="000000"/>
                <w:sz w:val="20"/>
                <w:szCs w:val="20"/>
                <w:lang w:val="en-US" w:eastAsia="zh-CN"/>
              </w:rPr>
              <w:t xml:space="preserve"> </w:t>
            </w:r>
            <w:r>
              <w:rPr>
                <w:rFonts w:eastAsia="Times New Roman"/>
                <w:color w:val="000000"/>
                <w:sz w:val="20"/>
                <w:szCs w:val="20"/>
                <w:lang w:val="fi-FI" w:eastAsia="fi-FI"/>
              </w:rPr>
              <w:t xml:space="preserve">Transmit intermodulation </w:t>
            </w:r>
            <w:r>
              <w:rPr>
                <w:rFonts w:hint="eastAsia" w:eastAsia="Times New Roman"/>
                <w:color w:val="000000"/>
                <w:sz w:val="20"/>
                <w:szCs w:val="20"/>
                <w:lang w:val="fi-FI" w:eastAsia="fi-FI"/>
              </w:rPr>
              <w:t xml:space="preserve">for category </w:t>
            </w:r>
            <w:r>
              <w:rPr>
                <w:rFonts w:eastAsia="Times New Roman"/>
                <w:color w:val="000000"/>
                <w:sz w:val="20"/>
                <w:szCs w:val="20"/>
                <w:lang w:val="fi-FI" w:eastAsia="fi-FI"/>
              </w:rPr>
              <w:t>M1</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tc>
        <w:tc>
          <w:tcPr>
            <w:tcW w:w="5651" w:type="dxa"/>
            <w:vMerge w:val="restart"/>
            <w:shd w:val="clear" w:color="000000" w:fill="FFFFFF"/>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295" w:name="_Toc121162879"/>
            <w:bookmarkStart w:id="296" w:name="_Toc137401299"/>
            <w:bookmarkStart w:id="297" w:name="_Toc121827760"/>
            <w:bookmarkStart w:id="298" w:name="_Toc124177588"/>
            <w:bookmarkStart w:id="299" w:name="_Toc138894823"/>
            <w:bookmarkStart w:id="300" w:name="_Toc124178015"/>
            <w:bookmarkStart w:id="301" w:name="_Toc153138281"/>
            <w:bookmarkStart w:id="302" w:name="_Toc120570087"/>
            <w:bookmarkStart w:id="303" w:name="_Toc161928696"/>
            <w:bookmarkStart w:id="304" w:name="_Toc137386419"/>
            <w:bookmarkStart w:id="305" w:name="_Toc130826142"/>
            <w:bookmarkStart w:id="306" w:name="_Toc153136081"/>
            <w:bookmarkStart w:id="307" w:name="_Toc163213918"/>
            <w:bookmarkStart w:id="308" w:name="_Toc163214395"/>
            <w:bookmarkStart w:id="309" w:name="_Toc145029534"/>
            <w:r>
              <w:rPr>
                <w:rFonts w:eastAsia="Times New Roman"/>
                <w:color w:val="000000"/>
                <w:sz w:val="20"/>
                <w:szCs w:val="20"/>
                <w:lang w:val="fi-FI" w:eastAsia="fi-FI"/>
              </w:rPr>
              <w:t>6.6B</w:t>
            </w:r>
            <w:r>
              <w:rPr>
                <w:rFonts w:hint="eastAsia" w:eastAsia="宋体"/>
                <w:color w:val="000000"/>
                <w:sz w:val="20"/>
                <w:szCs w:val="20"/>
                <w:lang w:val="en-US" w:eastAsia="zh-CN"/>
              </w:rPr>
              <w:t xml:space="preserve"> </w:t>
            </w:r>
            <w:r>
              <w:rPr>
                <w:rFonts w:eastAsia="Times New Roman"/>
                <w:color w:val="000000"/>
                <w:sz w:val="20"/>
                <w:szCs w:val="20"/>
                <w:lang w:val="fi-FI" w:eastAsia="fi-FI"/>
              </w:rPr>
              <w:t xml:space="preserve">Transmit intermodulation </w:t>
            </w:r>
            <w:r>
              <w:rPr>
                <w:rFonts w:hint="eastAsia" w:eastAsia="Times New Roman"/>
                <w:color w:val="000000"/>
                <w:sz w:val="20"/>
                <w:szCs w:val="20"/>
                <w:lang w:val="fi-FI" w:eastAsia="fi-FI"/>
              </w:rPr>
              <w:t>for category NB1 and NB2</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tc>
        <w:tc>
          <w:tcPr>
            <w:tcW w:w="5651" w:type="dxa"/>
            <w:vMerge w:val="continue"/>
            <w:shd w:val="clear" w:color="000000" w:fill="FFFFFF"/>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310" w:name="_Toc120570092"/>
            <w:bookmarkStart w:id="311" w:name="_Toc121827765"/>
            <w:bookmarkStart w:id="312" w:name="_Toc124178020"/>
            <w:bookmarkStart w:id="313" w:name="_Toc137386424"/>
            <w:bookmarkStart w:id="314" w:name="_Toc138894828"/>
            <w:bookmarkStart w:id="315" w:name="_Toc124177593"/>
            <w:bookmarkStart w:id="316" w:name="_Toc137401304"/>
            <w:bookmarkStart w:id="317" w:name="_Toc121162884"/>
            <w:bookmarkStart w:id="318" w:name="_Toc153136086"/>
            <w:bookmarkStart w:id="319" w:name="_Toc153138286"/>
            <w:bookmarkStart w:id="320" w:name="_Toc163214400"/>
            <w:bookmarkStart w:id="321" w:name="_Toc130826147"/>
            <w:bookmarkStart w:id="322" w:name="_Toc161928701"/>
            <w:bookmarkStart w:id="323" w:name="_Toc163213923"/>
            <w:bookmarkStart w:id="324" w:name="_Toc145029539"/>
            <w:r>
              <w:rPr>
                <w:rFonts w:eastAsia="Times New Roman"/>
                <w:color w:val="000000"/>
                <w:sz w:val="20"/>
                <w:szCs w:val="20"/>
                <w:lang w:val="fi-FI" w:eastAsia="fi-FI"/>
              </w:rPr>
              <w:t>7.3A</w:t>
            </w:r>
            <w:r>
              <w:rPr>
                <w:rFonts w:hint="eastAsia" w:eastAsia="宋体"/>
                <w:color w:val="000000"/>
                <w:sz w:val="20"/>
                <w:szCs w:val="20"/>
                <w:lang w:val="en-US" w:eastAsia="zh-CN"/>
              </w:rPr>
              <w:t xml:space="preserve"> </w:t>
            </w:r>
            <w:r>
              <w:rPr>
                <w:rFonts w:eastAsia="Times New Roman"/>
                <w:color w:val="000000"/>
                <w:sz w:val="20"/>
                <w:szCs w:val="20"/>
                <w:lang w:val="fi-FI" w:eastAsia="fi-FI"/>
              </w:rPr>
              <w:t>Reference sensitivity power level for UE category M1</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tc>
        <w:tc>
          <w:tcPr>
            <w:tcW w:w="5651" w:type="dxa"/>
            <w:vMerge w:val="restart"/>
            <w:shd w:val="clear" w:color="000000" w:fill="FFFFFF"/>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325" w:name="_Toc161928702"/>
            <w:bookmarkStart w:id="326" w:name="_Toc130826148"/>
            <w:bookmarkStart w:id="327" w:name="_Toc138894829"/>
            <w:bookmarkStart w:id="328" w:name="_Toc121827766"/>
            <w:bookmarkStart w:id="329" w:name="_Toc120570093"/>
            <w:bookmarkStart w:id="330" w:name="_Toc124178021"/>
            <w:bookmarkStart w:id="331" w:name="_Toc124177594"/>
            <w:bookmarkStart w:id="332" w:name="_Toc145029540"/>
            <w:bookmarkStart w:id="333" w:name="_Toc137401305"/>
            <w:bookmarkStart w:id="334" w:name="_Toc137386425"/>
            <w:bookmarkStart w:id="335" w:name="_Toc163213924"/>
            <w:bookmarkStart w:id="336" w:name="_Toc153138287"/>
            <w:bookmarkStart w:id="337" w:name="_Toc163214401"/>
            <w:bookmarkStart w:id="338" w:name="_Toc153136087"/>
            <w:bookmarkStart w:id="339" w:name="_Toc121162885"/>
            <w:r>
              <w:rPr>
                <w:rFonts w:eastAsia="Times New Roman"/>
                <w:color w:val="000000"/>
                <w:sz w:val="20"/>
                <w:szCs w:val="20"/>
                <w:lang w:val="fi-FI" w:eastAsia="fi-FI"/>
              </w:rPr>
              <w:t>7.3B</w:t>
            </w:r>
            <w:r>
              <w:rPr>
                <w:rFonts w:hint="eastAsia" w:eastAsia="宋体"/>
                <w:color w:val="000000"/>
                <w:sz w:val="20"/>
                <w:szCs w:val="20"/>
                <w:lang w:val="en-US" w:eastAsia="zh-CN"/>
              </w:rPr>
              <w:t xml:space="preserve"> </w:t>
            </w:r>
            <w:r>
              <w:rPr>
                <w:rFonts w:eastAsia="Times New Roman"/>
                <w:color w:val="000000"/>
                <w:sz w:val="20"/>
                <w:szCs w:val="20"/>
                <w:lang w:val="fi-FI" w:eastAsia="fi-FI"/>
              </w:rPr>
              <w:t>Reference sensitivity power level for UE category NB1 and NB2</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tc>
        <w:tc>
          <w:tcPr>
            <w:tcW w:w="5651" w:type="dxa"/>
            <w:vMerge w:val="continue"/>
            <w:shd w:val="clear" w:color="000000" w:fill="FFFFFF"/>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340" w:name="_Toc124178023"/>
            <w:bookmarkStart w:id="341" w:name="_Toc137386427"/>
            <w:bookmarkStart w:id="342" w:name="_Toc120570095"/>
            <w:bookmarkStart w:id="343" w:name="_Toc137401307"/>
            <w:bookmarkStart w:id="344" w:name="_Toc138894831"/>
            <w:bookmarkStart w:id="345" w:name="_Toc153138289"/>
            <w:bookmarkStart w:id="346" w:name="_Toc121162887"/>
            <w:bookmarkStart w:id="347" w:name="_Toc124177596"/>
            <w:bookmarkStart w:id="348" w:name="_Toc163213926"/>
            <w:bookmarkStart w:id="349" w:name="_Toc161928704"/>
            <w:bookmarkStart w:id="350" w:name="_Toc153136089"/>
            <w:bookmarkStart w:id="351" w:name="_Toc145029542"/>
            <w:bookmarkStart w:id="352" w:name="_Toc163214403"/>
            <w:bookmarkStart w:id="353" w:name="_Toc130826150"/>
            <w:bookmarkStart w:id="354" w:name="_Toc121827768"/>
            <w:r>
              <w:rPr>
                <w:rFonts w:eastAsia="Times New Roman"/>
                <w:color w:val="000000"/>
                <w:sz w:val="20"/>
                <w:szCs w:val="20"/>
                <w:lang w:val="fi-FI" w:eastAsia="fi-FI"/>
              </w:rPr>
              <w:t>7.4A</w:t>
            </w:r>
            <w:r>
              <w:rPr>
                <w:rFonts w:hint="eastAsia" w:eastAsia="宋体"/>
                <w:color w:val="000000"/>
                <w:sz w:val="20"/>
                <w:szCs w:val="20"/>
                <w:lang w:val="en-US" w:eastAsia="zh-CN"/>
              </w:rPr>
              <w:t xml:space="preserve"> </w:t>
            </w:r>
            <w:r>
              <w:rPr>
                <w:rFonts w:eastAsia="Times New Roman"/>
                <w:color w:val="000000"/>
                <w:sz w:val="20"/>
                <w:szCs w:val="20"/>
                <w:lang w:val="fi-FI" w:eastAsia="fi-FI"/>
              </w:rPr>
              <w:t>Maximum input level for category M1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tc>
        <w:tc>
          <w:tcPr>
            <w:tcW w:w="5651" w:type="dxa"/>
            <w:vMerge w:val="restart"/>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355" w:name="_Toc121827769"/>
            <w:bookmarkStart w:id="356" w:name="_Toc153136090"/>
            <w:bookmarkStart w:id="357" w:name="_Toc145029543"/>
            <w:bookmarkStart w:id="358" w:name="_Toc163214404"/>
            <w:bookmarkStart w:id="359" w:name="_Toc124178024"/>
            <w:bookmarkStart w:id="360" w:name="_Toc161928705"/>
            <w:bookmarkStart w:id="361" w:name="_Toc138894832"/>
            <w:bookmarkStart w:id="362" w:name="_Toc153138290"/>
            <w:bookmarkStart w:id="363" w:name="_Toc163213927"/>
            <w:bookmarkStart w:id="364" w:name="_Toc130826151"/>
            <w:bookmarkStart w:id="365" w:name="_Toc120570096"/>
            <w:bookmarkStart w:id="366" w:name="_Toc137401308"/>
            <w:bookmarkStart w:id="367" w:name="_Toc137386428"/>
            <w:bookmarkStart w:id="368" w:name="_Toc124177597"/>
            <w:bookmarkStart w:id="369" w:name="_Toc121162888"/>
            <w:r>
              <w:rPr>
                <w:rFonts w:eastAsia="Times New Roman"/>
                <w:color w:val="000000"/>
                <w:sz w:val="20"/>
                <w:szCs w:val="20"/>
                <w:lang w:val="fi-FI" w:eastAsia="fi-FI"/>
              </w:rPr>
              <w:t>7.4B</w:t>
            </w:r>
            <w:r>
              <w:rPr>
                <w:rFonts w:hint="eastAsia" w:eastAsia="宋体"/>
                <w:color w:val="000000"/>
                <w:sz w:val="20"/>
                <w:szCs w:val="20"/>
                <w:lang w:val="en-US" w:eastAsia="zh-CN"/>
              </w:rPr>
              <w:t xml:space="preserve"> </w:t>
            </w:r>
            <w:r>
              <w:rPr>
                <w:rFonts w:eastAsia="Times New Roman"/>
                <w:color w:val="000000"/>
                <w:sz w:val="20"/>
                <w:szCs w:val="20"/>
                <w:lang w:val="fi-FI" w:eastAsia="fi-FI"/>
              </w:rPr>
              <w:t>Maximum input level for category NB1 and NB2</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370" w:name="_Toc153138292"/>
            <w:bookmarkStart w:id="371" w:name="_Toc120570098"/>
            <w:bookmarkStart w:id="372" w:name="_Toc124177599"/>
            <w:bookmarkStart w:id="373" w:name="_Toc161928707"/>
            <w:bookmarkStart w:id="374" w:name="_Toc163214406"/>
            <w:bookmarkStart w:id="375" w:name="_Toc138894834"/>
            <w:bookmarkStart w:id="376" w:name="_Toc130826153"/>
            <w:bookmarkStart w:id="377" w:name="_Toc153136092"/>
            <w:bookmarkStart w:id="378" w:name="_Toc137401310"/>
            <w:bookmarkStart w:id="379" w:name="_Toc137386430"/>
            <w:bookmarkStart w:id="380" w:name="_Toc124178026"/>
            <w:bookmarkStart w:id="381" w:name="_Toc145029545"/>
            <w:bookmarkStart w:id="382" w:name="_Toc121162890"/>
            <w:bookmarkStart w:id="383" w:name="_Toc121827771"/>
            <w:bookmarkStart w:id="384" w:name="_Toc163213929"/>
            <w:r>
              <w:rPr>
                <w:rFonts w:eastAsia="Times New Roman"/>
                <w:color w:val="000000"/>
                <w:sz w:val="20"/>
                <w:szCs w:val="20"/>
                <w:lang w:val="fi-FI" w:eastAsia="fi-FI"/>
              </w:rPr>
              <w:t>7.5A</w:t>
            </w:r>
            <w:r>
              <w:rPr>
                <w:rFonts w:hint="eastAsia" w:eastAsia="宋体"/>
                <w:color w:val="000000"/>
                <w:sz w:val="20"/>
                <w:szCs w:val="20"/>
                <w:lang w:val="en-US" w:eastAsia="zh-CN"/>
              </w:rPr>
              <w:t xml:space="preserve"> </w:t>
            </w:r>
            <w:r>
              <w:rPr>
                <w:rFonts w:eastAsia="Times New Roman"/>
                <w:color w:val="000000"/>
                <w:sz w:val="20"/>
                <w:szCs w:val="20"/>
                <w:lang w:val="fi-FI" w:eastAsia="fi-FI"/>
              </w:rPr>
              <w:t>Adjacent Channel Selectivity for category M1</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tc>
        <w:tc>
          <w:tcPr>
            <w:tcW w:w="5651" w:type="dxa"/>
            <w:vMerge w:val="restart"/>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385" w:name="_Toc121162891"/>
            <w:bookmarkStart w:id="386" w:name="_Toc161928708"/>
            <w:bookmarkStart w:id="387" w:name="_Toc121827772"/>
            <w:bookmarkStart w:id="388" w:name="_Toc145029546"/>
            <w:bookmarkStart w:id="389" w:name="_Toc153136093"/>
            <w:bookmarkStart w:id="390" w:name="_Toc124178027"/>
            <w:bookmarkStart w:id="391" w:name="_Toc153138293"/>
            <w:bookmarkStart w:id="392" w:name="_Toc163214407"/>
            <w:bookmarkStart w:id="393" w:name="_Toc120570099"/>
            <w:bookmarkStart w:id="394" w:name="_Toc137401311"/>
            <w:bookmarkStart w:id="395" w:name="_Toc137386431"/>
            <w:bookmarkStart w:id="396" w:name="_Toc124177600"/>
            <w:bookmarkStart w:id="397" w:name="_Toc138894835"/>
            <w:bookmarkStart w:id="398" w:name="_Toc130826154"/>
            <w:bookmarkStart w:id="399" w:name="_Toc163213930"/>
            <w:r>
              <w:rPr>
                <w:rFonts w:eastAsia="Times New Roman"/>
                <w:color w:val="000000"/>
                <w:sz w:val="20"/>
                <w:szCs w:val="20"/>
                <w:lang w:val="fi-FI" w:eastAsia="fi-FI"/>
              </w:rPr>
              <w:t>7.5B</w:t>
            </w:r>
            <w:r>
              <w:rPr>
                <w:rFonts w:hint="eastAsia" w:eastAsia="宋体"/>
                <w:color w:val="000000"/>
                <w:sz w:val="20"/>
                <w:szCs w:val="20"/>
                <w:lang w:val="en-US" w:eastAsia="zh-CN"/>
              </w:rPr>
              <w:t xml:space="preserve"> </w:t>
            </w:r>
            <w:r>
              <w:rPr>
                <w:rFonts w:eastAsia="Times New Roman"/>
                <w:color w:val="000000"/>
                <w:sz w:val="20"/>
                <w:szCs w:val="20"/>
                <w:lang w:val="fi-FI" w:eastAsia="fi-FI"/>
              </w:rPr>
              <w:t>Adjacent Channel Selectivity for category NB1 and NB2</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400" w:name="_Toc130826158"/>
            <w:bookmarkStart w:id="401" w:name="_Toc153138297"/>
            <w:bookmarkStart w:id="402" w:name="_Toc137401315"/>
            <w:bookmarkStart w:id="403" w:name="_Toc163213934"/>
            <w:bookmarkStart w:id="404" w:name="_Toc124177604"/>
            <w:bookmarkStart w:id="405" w:name="_Toc145029550"/>
            <w:bookmarkStart w:id="406" w:name="_Toc153136097"/>
            <w:bookmarkStart w:id="407" w:name="_Toc121827776"/>
            <w:bookmarkStart w:id="408" w:name="_Toc121162895"/>
            <w:bookmarkStart w:id="409" w:name="_Toc138894839"/>
            <w:bookmarkStart w:id="410" w:name="_Toc124178031"/>
            <w:bookmarkStart w:id="411" w:name="_Toc137386435"/>
            <w:bookmarkStart w:id="412" w:name="_Toc161928712"/>
            <w:bookmarkStart w:id="413" w:name="_Toc163214411"/>
            <w:bookmarkStart w:id="414" w:name="_Toc120570103"/>
            <w:r>
              <w:rPr>
                <w:rFonts w:eastAsia="Times New Roman"/>
                <w:color w:val="000000"/>
                <w:sz w:val="20"/>
                <w:szCs w:val="20"/>
                <w:lang w:val="fi-FI" w:eastAsia="fi-FI"/>
              </w:rPr>
              <w:t>7.6A.2</w:t>
            </w:r>
            <w:r>
              <w:rPr>
                <w:rFonts w:hint="eastAsia" w:eastAsia="宋体"/>
                <w:color w:val="000000"/>
                <w:sz w:val="20"/>
                <w:szCs w:val="20"/>
                <w:lang w:val="en-US" w:eastAsia="zh-CN"/>
              </w:rPr>
              <w:t xml:space="preserve"> </w:t>
            </w:r>
            <w:r>
              <w:rPr>
                <w:rFonts w:eastAsia="Times New Roman"/>
                <w:color w:val="000000"/>
                <w:sz w:val="20"/>
                <w:szCs w:val="20"/>
                <w:lang w:val="fi-FI" w:eastAsia="fi-FI"/>
              </w:rPr>
              <w:t>In-band blocking requirements for category M1</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5651" w:type="dxa"/>
            <w:vMerge w:val="restart"/>
            <w:shd w:val="clear" w:color="auto" w:fill="auto"/>
            <w:vAlign w:val="center"/>
          </w:tcPr>
          <w:p>
            <w:pPr>
              <w:spacing w:after="0"/>
              <w:rPr>
                <w:rFonts w:eastAsia="Times New Roman"/>
                <w:color w:val="000000"/>
                <w:sz w:val="20"/>
                <w:szCs w:val="20"/>
                <w:lang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415" w:name="_Toc153138302"/>
            <w:bookmarkStart w:id="416" w:name="_Toc153136102"/>
            <w:bookmarkStart w:id="417" w:name="_Toc137386440"/>
            <w:bookmarkStart w:id="418" w:name="_Toc130826163"/>
            <w:bookmarkStart w:id="419" w:name="_Toc138894844"/>
            <w:bookmarkStart w:id="420" w:name="_Toc121162900"/>
            <w:bookmarkStart w:id="421" w:name="_Toc124178036"/>
            <w:bookmarkStart w:id="422" w:name="_Toc121827781"/>
            <w:bookmarkStart w:id="423" w:name="_Toc163213939"/>
            <w:bookmarkStart w:id="424" w:name="_Toc137401320"/>
            <w:bookmarkStart w:id="425" w:name="_Toc145029555"/>
            <w:bookmarkStart w:id="426" w:name="_Toc120570108"/>
            <w:bookmarkStart w:id="427" w:name="_Toc124177609"/>
            <w:bookmarkStart w:id="428" w:name="_Toc161928717"/>
            <w:bookmarkStart w:id="429" w:name="_Toc163214416"/>
            <w:r>
              <w:rPr>
                <w:rFonts w:eastAsia="Times New Roman"/>
                <w:color w:val="000000"/>
                <w:sz w:val="20"/>
                <w:szCs w:val="20"/>
                <w:lang w:val="fi-FI" w:eastAsia="fi-FI"/>
              </w:rPr>
              <w:t>7.6B.2</w:t>
            </w:r>
            <w:r>
              <w:rPr>
                <w:rFonts w:hint="eastAsia" w:eastAsia="宋体"/>
                <w:color w:val="000000"/>
                <w:sz w:val="20"/>
                <w:szCs w:val="20"/>
                <w:lang w:val="en-US" w:eastAsia="zh-CN"/>
              </w:rPr>
              <w:t xml:space="preserve"> </w:t>
            </w:r>
            <w:r>
              <w:rPr>
                <w:rFonts w:eastAsia="Times New Roman"/>
                <w:color w:val="000000"/>
                <w:sz w:val="20"/>
                <w:szCs w:val="20"/>
                <w:lang w:val="fi-FI" w:eastAsia="fi-FI"/>
              </w:rPr>
              <w:t>In-band blocking requirements for category NB1 and NB2</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tc>
        <w:tc>
          <w:tcPr>
            <w:tcW w:w="5651" w:type="dxa"/>
            <w:vMerge w:val="continue"/>
            <w:shd w:val="clear" w:color="auto" w:fill="auto"/>
            <w:vAlign w:val="center"/>
          </w:tcPr>
          <w:p>
            <w:pPr>
              <w:spacing w:after="0"/>
              <w:rPr>
                <w:rFonts w:eastAsia="Times New Roman"/>
                <w:color w:val="000000"/>
                <w:sz w:val="20"/>
                <w:szCs w:val="20"/>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430" w:name="_Toc121827777"/>
            <w:bookmarkStart w:id="431" w:name="_Toc120570104"/>
            <w:bookmarkStart w:id="432" w:name="_Toc138894840"/>
            <w:bookmarkStart w:id="433" w:name="_Toc121162896"/>
            <w:bookmarkStart w:id="434" w:name="_Toc153138298"/>
            <w:bookmarkStart w:id="435" w:name="_Toc161928713"/>
            <w:bookmarkStart w:id="436" w:name="_Toc163214412"/>
            <w:bookmarkStart w:id="437" w:name="_Toc137401316"/>
            <w:bookmarkStart w:id="438" w:name="_Toc124177605"/>
            <w:bookmarkStart w:id="439" w:name="_Toc130826159"/>
            <w:bookmarkStart w:id="440" w:name="_Toc137386436"/>
            <w:bookmarkStart w:id="441" w:name="_Toc145029551"/>
            <w:bookmarkStart w:id="442" w:name="_Toc124178032"/>
            <w:bookmarkStart w:id="443" w:name="_Toc153136098"/>
            <w:bookmarkStart w:id="444" w:name="_Toc163213935"/>
            <w:r>
              <w:rPr>
                <w:rFonts w:eastAsia="Times New Roman"/>
                <w:color w:val="000000"/>
                <w:sz w:val="20"/>
                <w:szCs w:val="20"/>
                <w:lang w:val="fi-FI" w:eastAsia="fi-FI"/>
              </w:rPr>
              <w:t>7.6A.3</w:t>
            </w:r>
            <w:r>
              <w:rPr>
                <w:rFonts w:hint="eastAsia" w:eastAsia="宋体"/>
                <w:color w:val="000000"/>
                <w:sz w:val="20"/>
                <w:szCs w:val="20"/>
                <w:lang w:val="en-US" w:eastAsia="zh-CN"/>
              </w:rPr>
              <w:t xml:space="preserve"> </w:t>
            </w:r>
            <w:r>
              <w:rPr>
                <w:rFonts w:eastAsia="Times New Roman"/>
                <w:color w:val="000000"/>
                <w:sz w:val="20"/>
                <w:szCs w:val="20"/>
                <w:lang w:val="fi-FI" w:eastAsia="fi-FI"/>
              </w:rPr>
              <w:t>Out-of-band blocking requirements for category M1</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tc>
        <w:tc>
          <w:tcPr>
            <w:tcW w:w="5651" w:type="dxa"/>
            <w:vMerge w:val="restart"/>
            <w:shd w:val="clear" w:color="auto" w:fill="auto"/>
            <w:vAlign w:val="center"/>
          </w:tcPr>
          <w:p>
            <w:pPr>
              <w:spacing w:after="0"/>
              <w:rPr>
                <w:rFonts w:hint="eastAsia"/>
                <w:color w:val="000000"/>
                <w:sz w:val="20"/>
                <w:szCs w:val="20"/>
                <w:lang w:val="en-US"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445" w:name="_Toc163214417"/>
            <w:bookmarkStart w:id="446" w:name="_Toc153138303"/>
            <w:bookmarkStart w:id="447" w:name="_Toc121827782"/>
            <w:bookmarkStart w:id="448" w:name="_Toc161928718"/>
            <w:bookmarkStart w:id="449" w:name="_Toc124177610"/>
            <w:bookmarkStart w:id="450" w:name="_Toc163213940"/>
            <w:bookmarkStart w:id="451" w:name="_Toc137401321"/>
            <w:bookmarkStart w:id="452" w:name="_Toc121162901"/>
            <w:bookmarkStart w:id="453" w:name="_Toc137386441"/>
            <w:bookmarkStart w:id="454" w:name="_Toc120570109"/>
            <w:bookmarkStart w:id="455" w:name="_Toc130826164"/>
            <w:bookmarkStart w:id="456" w:name="_Toc145029556"/>
            <w:bookmarkStart w:id="457" w:name="_Toc124178037"/>
            <w:bookmarkStart w:id="458" w:name="_Toc153136103"/>
            <w:bookmarkStart w:id="459" w:name="_Toc138894845"/>
            <w:r>
              <w:rPr>
                <w:rFonts w:eastAsia="Times New Roman"/>
                <w:color w:val="000000"/>
                <w:sz w:val="20"/>
                <w:szCs w:val="20"/>
                <w:lang w:val="fi-FI" w:eastAsia="fi-FI"/>
              </w:rPr>
              <w:t>7.6B.3</w:t>
            </w:r>
            <w:r>
              <w:rPr>
                <w:rFonts w:hint="eastAsia" w:eastAsia="宋体"/>
                <w:color w:val="000000"/>
                <w:sz w:val="20"/>
                <w:szCs w:val="20"/>
                <w:lang w:val="en-US" w:eastAsia="zh-CN"/>
              </w:rPr>
              <w:t xml:space="preserve"> </w:t>
            </w:r>
            <w:r>
              <w:rPr>
                <w:rFonts w:eastAsia="Times New Roman"/>
                <w:color w:val="000000"/>
                <w:sz w:val="20"/>
                <w:szCs w:val="20"/>
                <w:lang w:val="fi-FI" w:eastAsia="fi-FI"/>
              </w:rPr>
              <w:t>Out-of-band blocking requirements for category NB1 and NB2</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tc>
        <w:tc>
          <w:tcPr>
            <w:tcW w:w="5651" w:type="dxa"/>
            <w:vMerge w:val="continue"/>
            <w:shd w:val="clear" w:color="auto" w:fill="auto"/>
            <w:vAlign w:val="center"/>
          </w:tcPr>
          <w:p>
            <w:pPr>
              <w:spacing w:after="0"/>
              <w:rPr>
                <w:rFonts w:eastAsia="Times New Roman"/>
                <w:color w:val="000000"/>
                <w:sz w:val="20"/>
                <w:szCs w:val="20"/>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460" w:name="_Toc153138299"/>
            <w:bookmarkStart w:id="461" w:name="_Toc153136099"/>
            <w:bookmarkStart w:id="462" w:name="_Toc124177606"/>
            <w:bookmarkStart w:id="463" w:name="_Toc130826160"/>
            <w:bookmarkStart w:id="464" w:name="_Toc145029552"/>
            <w:bookmarkStart w:id="465" w:name="_Toc120570105"/>
            <w:bookmarkStart w:id="466" w:name="_Toc161928714"/>
            <w:bookmarkStart w:id="467" w:name="_Toc163214413"/>
            <w:bookmarkStart w:id="468" w:name="_Toc163213936"/>
            <w:bookmarkStart w:id="469" w:name="_Toc137401317"/>
            <w:bookmarkStart w:id="470" w:name="_Toc121827778"/>
            <w:bookmarkStart w:id="471" w:name="_Toc137386437"/>
            <w:bookmarkStart w:id="472" w:name="_Toc121162897"/>
            <w:bookmarkStart w:id="473" w:name="_Toc124178033"/>
            <w:bookmarkStart w:id="474" w:name="_Toc138894841"/>
            <w:r>
              <w:rPr>
                <w:rFonts w:eastAsia="Times New Roman"/>
                <w:color w:val="000000"/>
                <w:sz w:val="20"/>
                <w:szCs w:val="20"/>
                <w:lang w:val="fi-FI" w:eastAsia="fi-FI"/>
              </w:rPr>
              <w:t>7.6A.4</w:t>
            </w:r>
            <w:r>
              <w:rPr>
                <w:rFonts w:hint="eastAsia" w:eastAsia="宋体"/>
                <w:color w:val="000000"/>
                <w:sz w:val="20"/>
                <w:szCs w:val="20"/>
                <w:lang w:val="en-US" w:eastAsia="zh-CN"/>
              </w:rPr>
              <w:t xml:space="preserve"> </w:t>
            </w:r>
            <w:r>
              <w:rPr>
                <w:rFonts w:eastAsia="Times New Roman"/>
                <w:color w:val="000000"/>
                <w:sz w:val="20"/>
                <w:szCs w:val="20"/>
                <w:lang w:val="fi-FI" w:eastAsia="fi-FI"/>
              </w:rPr>
              <w:t>Narrow band blocking for category M1</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tc>
        <w:tc>
          <w:tcPr>
            <w:tcW w:w="5651" w:type="dxa"/>
            <w:vMerge w:val="restart"/>
            <w:shd w:val="clear" w:color="auto" w:fill="auto"/>
            <w:vAlign w:val="center"/>
          </w:tcPr>
          <w:p>
            <w:pPr>
              <w:spacing w:after="0"/>
              <w:rPr>
                <w:rFonts w:eastAsia="Times New Roman"/>
                <w:color w:val="000000"/>
                <w:sz w:val="20"/>
                <w:szCs w:val="20"/>
                <w:lang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475" w:name="_Toc121827783"/>
            <w:bookmarkStart w:id="476" w:name="_Toc137386442"/>
            <w:bookmarkStart w:id="477" w:name="_Toc153138304"/>
            <w:bookmarkStart w:id="478" w:name="_Toc153136104"/>
            <w:bookmarkStart w:id="479" w:name="_Toc161928719"/>
            <w:bookmarkStart w:id="480" w:name="_Toc138894846"/>
            <w:bookmarkStart w:id="481" w:name="_Toc137401322"/>
            <w:bookmarkStart w:id="482" w:name="_Toc124177611"/>
            <w:bookmarkStart w:id="483" w:name="_Toc124178038"/>
            <w:bookmarkStart w:id="484" w:name="_Toc130826165"/>
            <w:bookmarkStart w:id="485" w:name="_Toc163213941"/>
            <w:bookmarkStart w:id="486" w:name="_Toc145029557"/>
            <w:bookmarkStart w:id="487" w:name="_Toc120570110"/>
            <w:bookmarkStart w:id="488" w:name="_Toc163214418"/>
            <w:bookmarkStart w:id="489" w:name="_Toc121162902"/>
            <w:r>
              <w:rPr>
                <w:rFonts w:eastAsia="Times New Roman"/>
                <w:color w:val="000000"/>
                <w:sz w:val="20"/>
                <w:szCs w:val="20"/>
                <w:lang w:val="fi-FI" w:eastAsia="fi-FI"/>
              </w:rPr>
              <w:t>7.6B.4</w:t>
            </w:r>
            <w:r>
              <w:rPr>
                <w:rFonts w:hint="eastAsia" w:eastAsia="宋体"/>
                <w:color w:val="000000"/>
                <w:sz w:val="20"/>
                <w:szCs w:val="20"/>
                <w:lang w:val="en-US" w:eastAsia="zh-CN"/>
              </w:rPr>
              <w:t xml:space="preserve"> </w:t>
            </w:r>
            <w:r>
              <w:rPr>
                <w:rFonts w:eastAsia="Times New Roman"/>
                <w:color w:val="000000"/>
                <w:sz w:val="20"/>
                <w:szCs w:val="20"/>
                <w:lang w:val="fi-FI" w:eastAsia="fi-FI"/>
              </w:rPr>
              <w:t>Narrow band blocking for category NB1 and NB2</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tc>
        <w:tc>
          <w:tcPr>
            <w:tcW w:w="5651" w:type="dxa"/>
            <w:vMerge w:val="continue"/>
            <w:shd w:val="clear" w:color="auto" w:fill="auto"/>
            <w:vAlign w:val="center"/>
          </w:tcPr>
          <w:p>
            <w:pPr>
              <w:spacing w:after="0"/>
              <w:rPr>
                <w:rFonts w:eastAsia="Times New Roman"/>
                <w:color w:val="000000"/>
                <w:sz w:val="20"/>
                <w:szCs w:val="20"/>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490" w:name="_Toc137401324"/>
            <w:bookmarkStart w:id="491" w:name="_Toc121827785"/>
            <w:bookmarkStart w:id="492" w:name="_Toc145029559"/>
            <w:bookmarkStart w:id="493" w:name="_Toc153138306"/>
            <w:bookmarkStart w:id="494" w:name="_Toc124178040"/>
            <w:bookmarkStart w:id="495" w:name="_Toc138894848"/>
            <w:bookmarkStart w:id="496" w:name="_Toc120570112"/>
            <w:bookmarkStart w:id="497" w:name="_Toc163214420"/>
            <w:bookmarkStart w:id="498" w:name="_Toc124177613"/>
            <w:bookmarkStart w:id="499" w:name="_Toc161928721"/>
            <w:bookmarkStart w:id="500" w:name="_Toc121162904"/>
            <w:bookmarkStart w:id="501" w:name="_Toc137386444"/>
            <w:bookmarkStart w:id="502" w:name="_Toc130826167"/>
            <w:bookmarkStart w:id="503" w:name="_Toc163213943"/>
            <w:bookmarkStart w:id="504" w:name="_Toc153136106"/>
            <w:r>
              <w:rPr>
                <w:rFonts w:eastAsia="Times New Roman"/>
                <w:color w:val="000000"/>
                <w:sz w:val="20"/>
                <w:szCs w:val="20"/>
                <w:lang w:val="fi-FI" w:eastAsia="fi-FI"/>
              </w:rPr>
              <w:t>7.7A</w:t>
            </w:r>
            <w:r>
              <w:rPr>
                <w:rFonts w:hint="eastAsia" w:eastAsia="宋体"/>
                <w:color w:val="000000"/>
                <w:sz w:val="20"/>
                <w:szCs w:val="20"/>
                <w:lang w:val="en-US" w:eastAsia="zh-CN"/>
              </w:rPr>
              <w:t xml:space="preserve"> </w:t>
            </w:r>
            <w:r>
              <w:rPr>
                <w:rFonts w:eastAsia="Times New Roman"/>
                <w:color w:val="000000"/>
                <w:sz w:val="20"/>
                <w:szCs w:val="20"/>
                <w:lang w:val="fi-FI" w:eastAsia="fi-FI"/>
              </w:rPr>
              <w:t>Spurious response for category M1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tc>
        <w:tc>
          <w:tcPr>
            <w:tcW w:w="5651" w:type="dxa"/>
            <w:vMerge w:val="restart"/>
            <w:shd w:val="clear" w:color="auto" w:fill="auto"/>
            <w:vAlign w:val="center"/>
          </w:tcPr>
          <w:p>
            <w:pPr>
              <w:spacing w:after="0"/>
              <w:rPr>
                <w:rFonts w:hint="eastAsia"/>
                <w:color w:val="000000"/>
                <w:sz w:val="20"/>
                <w:szCs w:val="20"/>
                <w:lang w:val="en-US" w:eastAsia="fi-FI"/>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505" w:name="_Toc121162905"/>
            <w:bookmarkStart w:id="506" w:name="_Toc120570113"/>
            <w:bookmarkStart w:id="507" w:name="_Toc153136107"/>
            <w:bookmarkStart w:id="508" w:name="_Toc138894849"/>
            <w:bookmarkStart w:id="509" w:name="_Toc124177614"/>
            <w:bookmarkStart w:id="510" w:name="_Toc145029560"/>
            <w:bookmarkStart w:id="511" w:name="_Toc124178041"/>
            <w:bookmarkStart w:id="512" w:name="_Toc137386445"/>
            <w:bookmarkStart w:id="513" w:name="_Toc137401325"/>
            <w:bookmarkStart w:id="514" w:name="_Toc153138307"/>
            <w:bookmarkStart w:id="515" w:name="_Toc163214421"/>
            <w:bookmarkStart w:id="516" w:name="_Toc161928722"/>
            <w:bookmarkStart w:id="517" w:name="_Toc130826168"/>
            <w:bookmarkStart w:id="518" w:name="_Toc121827786"/>
            <w:bookmarkStart w:id="519" w:name="_Toc163213944"/>
            <w:r>
              <w:rPr>
                <w:rFonts w:eastAsia="Times New Roman"/>
                <w:color w:val="000000"/>
                <w:sz w:val="20"/>
                <w:szCs w:val="20"/>
                <w:lang w:val="fi-FI" w:eastAsia="fi-FI"/>
              </w:rPr>
              <w:t>7.7B</w:t>
            </w:r>
            <w:r>
              <w:rPr>
                <w:rFonts w:hint="eastAsia" w:eastAsia="宋体"/>
                <w:color w:val="000000"/>
                <w:sz w:val="20"/>
                <w:szCs w:val="20"/>
                <w:lang w:val="en-US" w:eastAsia="zh-CN"/>
              </w:rPr>
              <w:t xml:space="preserve"> </w:t>
            </w:r>
            <w:r>
              <w:rPr>
                <w:rFonts w:eastAsia="Times New Roman"/>
                <w:color w:val="000000"/>
                <w:sz w:val="20"/>
                <w:szCs w:val="20"/>
                <w:lang w:val="fi-FI" w:eastAsia="fi-FI"/>
              </w:rPr>
              <w:t>Spurious response for category NB1 and NB2</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hint="eastAsia"/>
                <w:color w:val="000000"/>
                <w:sz w:val="20"/>
                <w:szCs w:val="20"/>
                <w:lang w:val="fi-FI" w:eastAsia="fi-FI"/>
              </w:rPr>
            </w:pPr>
            <w:bookmarkStart w:id="520" w:name="_Toc120570115"/>
            <w:bookmarkStart w:id="521" w:name="_Toc130826170"/>
            <w:bookmarkStart w:id="522" w:name="_Toc121162907"/>
            <w:bookmarkStart w:id="523" w:name="_Toc153138309"/>
            <w:bookmarkStart w:id="524" w:name="_Toc137401327"/>
            <w:bookmarkStart w:id="525" w:name="_Toc163214423"/>
            <w:bookmarkStart w:id="526" w:name="_Toc124177616"/>
            <w:bookmarkStart w:id="527" w:name="_Toc163213946"/>
            <w:bookmarkStart w:id="528" w:name="_Toc137386447"/>
            <w:bookmarkStart w:id="529" w:name="_Toc161928724"/>
            <w:bookmarkStart w:id="530" w:name="_Toc138894851"/>
            <w:bookmarkStart w:id="531" w:name="_Toc121827788"/>
            <w:bookmarkStart w:id="532" w:name="_Toc124178043"/>
            <w:bookmarkStart w:id="533" w:name="_Toc153136109"/>
            <w:bookmarkStart w:id="534" w:name="_Toc145029562"/>
            <w:r>
              <w:rPr>
                <w:rFonts w:hint="eastAsia"/>
                <w:color w:val="000000"/>
                <w:sz w:val="20"/>
                <w:szCs w:val="20"/>
                <w:lang w:val="fi-FI" w:eastAsia="fi-FI"/>
              </w:rPr>
              <w:t>7.8</w:t>
            </w:r>
            <w:r>
              <w:rPr>
                <w:rFonts w:hint="eastAsia"/>
                <w:color w:val="000000"/>
                <w:sz w:val="20"/>
                <w:szCs w:val="20"/>
                <w:lang w:val="fi-FI" w:eastAsia="zh-CN"/>
              </w:rPr>
              <w:t>A</w:t>
            </w:r>
            <w:r>
              <w:rPr>
                <w:rFonts w:hint="eastAsia"/>
                <w:color w:val="000000"/>
                <w:sz w:val="20"/>
                <w:szCs w:val="20"/>
                <w:lang w:val="en-US" w:eastAsia="zh-CN"/>
              </w:rPr>
              <w:t xml:space="preserve"> </w:t>
            </w:r>
            <w:r>
              <w:rPr>
                <w:rFonts w:hint="eastAsia"/>
                <w:color w:val="000000"/>
                <w:sz w:val="20"/>
                <w:szCs w:val="20"/>
                <w:lang w:val="fi-FI" w:eastAsia="fi-FI"/>
              </w:rPr>
              <w:t>Intermodulation</w:t>
            </w:r>
            <w:r>
              <w:rPr>
                <w:rFonts w:hint="eastAsia"/>
                <w:color w:val="000000"/>
                <w:sz w:val="20"/>
                <w:szCs w:val="20"/>
                <w:lang w:val="fi-FI" w:eastAsia="zh-CN"/>
              </w:rPr>
              <w:t xml:space="preserve"> characteristics for category M1</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tc>
        <w:tc>
          <w:tcPr>
            <w:tcW w:w="5651" w:type="dxa"/>
            <w:vMerge w:val="restart"/>
            <w:shd w:val="clear" w:color="auto" w:fill="auto"/>
            <w:vAlign w:val="center"/>
          </w:tcPr>
          <w:p>
            <w:pPr>
              <w:spacing w:after="0"/>
              <w:rPr>
                <w:rFonts w:hint="eastAsia"/>
                <w:color w:val="000000"/>
                <w:sz w:val="20"/>
                <w:szCs w:val="20"/>
                <w:lang w:val="en-US" w:eastAsia="zh-CN"/>
              </w:rPr>
            </w:pPr>
          </w:p>
          <w:p>
            <w:pPr>
              <w:spacing w:after="0"/>
              <w:rPr>
                <w:rFonts w:hint="eastAsia"/>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bookmarkStart w:id="535" w:name="_Toc163213947"/>
            <w:bookmarkStart w:id="536" w:name="_Toc137401328"/>
            <w:bookmarkStart w:id="537" w:name="_Toc121827789"/>
            <w:bookmarkStart w:id="538" w:name="_Toc153136110"/>
            <w:bookmarkStart w:id="539" w:name="_Toc121162908"/>
            <w:bookmarkStart w:id="540" w:name="_Toc130826171"/>
            <w:bookmarkStart w:id="541" w:name="_Toc124177617"/>
            <w:bookmarkStart w:id="542" w:name="_Toc120570116"/>
            <w:bookmarkStart w:id="543" w:name="_Toc145029563"/>
            <w:bookmarkStart w:id="544" w:name="_Toc137386448"/>
            <w:bookmarkStart w:id="545" w:name="_Toc138894852"/>
            <w:bookmarkStart w:id="546" w:name="_Toc153138310"/>
            <w:bookmarkStart w:id="547" w:name="_Toc161928725"/>
            <w:bookmarkStart w:id="548" w:name="_Toc124178044"/>
            <w:bookmarkStart w:id="549" w:name="_Toc163214424"/>
            <w:r>
              <w:rPr>
                <w:rFonts w:eastAsia="Times New Roman"/>
                <w:color w:val="000000"/>
                <w:sz w:val="20"/>
                <w:szCs w:val="20"/>
                <w:lang w:val="fi-FI" w:eastAsia="fi-FI"/>
              </w:rPr>
              <w:t>7.8</w:t>
            </w:r>
            <w:r>
              <w:rPr>
                <w:rFonts w:eastAsia="Times New Roman"/>
                <w:color w:val="000000"/>
                <w:sz w:val="20"/>
                <w:szCs w:val="20"/>
                <w:lang w:val="fi-FI" w:eastAsia="zh-CN"/>
              </w:rPr>
              <w:t>B</w:t>
            </w:r>
            <w:r>
              <w:rPr>
                <w:rFonts w:hint="eastAsia" w:eastAsia="宋体"/>
                <w:color w:val="000000"/>
                <w:sz w:val="20"/>
                <w:szCs w:val="20"/>
                <w:lang w:val="en-US" w:eastAsia="zh-CN"/>
              </w:rPr>
              <w:t xml:space="preserve"> </w:t>
            </w:r>
            <w:r>
              <w:rPr>
                <w:rFonts w:eastAsia="Times New Roman"/>
                <w:color w:val="000000"/>
                <w:sz w:val="20"/>
                <w:szCs w:val="20"/>
                <w:lang w:val="fi-FI" w:eastAsia="fi-FI"/>
              </w:rPr>
              <w:t>Intermodulation</w:t>
            </w:r>
            <w:r>
              <w:rPr>
                <w:rFonts w:eastAsia="Times New Roman"/>
                <w:color w:val="000000"/>
                <w:sz w:val="20"/>
                <w:szCs w:val="20"/>
                <w:lang w:val="fi-FI" w:eastAsia="zh-CN"/>
              </w:rPr>
              <w:t xml:space="preserve"> characteristics for category NB1 and NB2</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tc>
        <w:tc>
          <w:tcPr>
            <w:tcW w:w="5651" w:type="dxa"/>
            <w:vMerge w:val="continue"/>
            <w:shd w:val="clear" w:color="auto" w:fill="auto"/>
            <w:vAlign w:val="center"/>
          </w:tcPr>
          <w:p>
            <w:pPr>
              <w:spacing w:after="0"/>
              <w:rPr>
                <w:rFonts w:hint="eastAsia" w:eastAsia="宋体"/>
                <w:color w:val="00000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7.9</w:t>
            </w:r>
            <w:r>
              <w:rPr>
                <w:rFonts w:hint="eastAsia" w:eastAsia="宋体"/>
                <w:color w:val="000000"/>
                <w:sz w:val="20"/>
                <w:szCs w:val="20"/>
                <w:lang w:val="en-US" w:eastAsia="zh-CN"/>
              </w:rPr>
              <w:t xml:space="preserve"> </w:t>
            </w:r>
            <w:r>
              <w:rPr>
                <w:rFonts w:eastAsia="Times New Roman"/>
                <w:color w:val="000000"/>
                <w:sz w:val="20"/>
                <w:szCs w:val="20"/>
                <w:lang w:val="fi-FI" w:eastAsia="fi-FI"/>
              </w:rPr>
              <w:t>Spurious emissions</w:t>
            </w:r>
          </w:p>
        </w:tc>
        <w:tc>
          <w:tcPr>
            <w:tcW w:w="5651" w:type="dxa"/>
            <w:shd w:val="clear" w:color="auto" w:fill="auto"/>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eastAsia="Times New Roman"/>
                <w:color w:val="000000"/>
                <w:sz w:val="20"/>
                <w:szCs w:val="20"/>
                <w:lang w:val="fi-FI" w:eastAsia="fi-FI"/>
              </w:rPr>
            </w:pPr>
            <w:r>
              <w:rPr>
                <w:rFonts w:hint="eastAsia" w:eastAsia="Times New Roman"/>
                <w:color w:val="000000"/>
                <w:sz w:val="20"/>
                <w:szCs w:val="20"/>
                <w:lang w:val="fi-FI" w:eastAsia="fi-FI"/>
              </w:rPr>
              <w:t>A.1</w:t>
            </w:r>
            <w:r>
              <w:rPr>
                <w:rFonts w:hint="eastAsia" w:eastAsia="Times New Roman"/>
                <w:color w:val="000000"/>
                <w:sz w:val="20"/>
                <w:szCs w:val="20"/>
                <w:lang w:val="fi-FI" w:eastAsia="fi-FI"/>
              </w:rPr>
              <w:tab/>
            </w:r>
            <w:r>
              <w:rPr>
                <w:rFonts w:hint="eastAsia" w:eastAsia="Times New Roman"/>
                <w:color w:val="000000"/>
                <w:sz w:val="20"/>
                <w:szCs w:val="20"/>
                <w:lang w:val="fi-FI" w:eastAsia="fi-FI"/>
              </w:rPr>
              <w:t>DL reference measurement channels</w:t>
            </w:r>
          </w:p>
        </w:tc>
        <w:tc>
          <w:tcPr>
            <w:tcW w:w="5651" w:type="dxa"/>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Yes.</w:t>
            </w:r>
          </w:p>
          <w:p>
            <w:pPr>
              <w:spacing w:after="0"/>
              <w:rPr>
                <w:rFonts w:hint="eastAsia"/>
                <w:color w:val="000000"/>
                <w:sz w:val="20"/>
                <w:szCs w:val="20"/>
                <w:lang w:val="en-US" w:eastAsia="zh-CN"/>
              </w:rPr>
            </w:pPr>
            <w:r>
              <w:rPr>
                <w:rFonts w:hint="eastAsia"/>
                <w:color w:val="000000"/>
                <w:sz w:val="20"/>
                <w:szCs w:val="20"/>
                <w:lang w:val="en-US" w:eastAsia="zh-CN"/>
              </w:rPr>
              <w:t>NPDSCH Reference Channel for TDD should be introduced.</w:t>
            </w:r>
          </w:p>
          <w:p>
            <w:pPr>
              <w:spacing w:after="0"/>
              <w:rPr>
                <w:rFonts w:hint="default"/>
                <w:color w:val="000000"/>
                <w:sz w:val="20"/>
                <w:szCs w:val="20"/>
                <w:lang w:val="en-US" w:eastAsia="zh-CN"/>
              </w:rPr>
            </w:pPr>
            <w:r>
              <w:rPr>
                <w:rFonts w:hint="default"/>
                <w:color w:val="000000"/>
                <w:sz w:val="20"/>
                <w:szCs w:val="20"/>
                <w:lang w:val="en-US" w:eastAsia="zh-CN"/>
              </w:rPr>
              <w:t>Fixed Reference Channel</w:t>
            </w:r>
            <w:r>
              <w:rPr>
                <w:rFonts w:hint="eastAsia"/>
                <w:color w:val="000000"/>
                <w:sz w:val="20"/>
                <w:szCs w:val="20"/>
                <w:lang w:val="en-US" w:eastAsia="zh-CN"/>
              </w:rPr>
              <w:t xml:space="preserve"> for TDD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hint="eastAsia" w:eastAsia="Times New Roman"/>
                <w:color w:val="000000"/>
                <w:sz w:val="20"/>
                <w:szCs w:val="20"/>
                <w:lang w:val="fi-FI" w:eastAsia="fi-FI"/>
              </w:rPr>
            </w:pPr>
            <w:r>
              <w:rPr>
                <w:rFonts w:hint="eastAsia" w:eastAsia="Times New Roman"/>
                <w:color w:val="000000"/>
                <w:sz w:val="20"/>
                <w:szCs w:val="20"/>
                <w:lang w:val="fi-FI" w:eastAsia="fi-FI"/>
              </w:rPr>
              <w:t>A.2</w:t>
            </w:r>
            <w:r>
              <w:rPr>
                <w:rFonts w:hint="eastAsia" w:eastAsia="Times New Roman"/>
                <w:color w:val="000000"/>
                <w:sz w:val="20"/>
                <w:szCs w:val="20"/>
                <w:lang w:val="fi-FI" w:eastAsia="fi-FI"/>
              </w:rPr>
              <w:tab/>
            </w:r>
            <w:r>
              <w:rPr>
                <w:rFonts w:hint="eastAsia" w:eastAsia="Times New Roman"/>
                <w:color w:val="000000"/>
                <w:sz w:val="20"/>
                <w:szCs w:val="20"/>
                <w:lang w:val="fi-FI" w:eastAsia="fi-FI"/>
              </w:rPr>
              <w:t>OFDMA Channel Noise Generator (OCNG)</w:t>
            </w:r>
          </w:p>
        </w:tc>
        <w:tc>
          <w:tcPr>
            <w:tcW w:w="5651" w:type="dxa"/>
            <w:shd w:val="clear" w:color="auto" w:fill="auto"/>
            <w:vAlign w:val="center"/>
          </w:tcPr>
          <w:p>
            <w:pPr>
              <w:spacing w:after="0"/>
              <w:rPr>
                <w:rFonts w:hint="eastAsia"/>
                <w:color w:val="000000"/>
                <w:sz w:val="20"/>
                <w:szCs w:val="20"/>
                <w:lang w:val="en-US" w:eastAsia="zh-CN"/>
              </w:rPr>
            </w:pPr>
            <w:r>
              <w:rPr>
                <w:rFonts w:hint="eastAsia"/>
                <w:color w:val="000000"/>
                <w:sz w:val="20"/>
                <w:szCs w:val="20"/>
                <w:lang w:val="en-US" w:eastAsia="zh-CN"/>
              </w:rPr>
              <w:t>Yes.</w:t>
            </w:r>
          </w:p>
          <w:p>
            <w:pPr>
              <w:spacing w:after="0"/>
              <w:rPr>
                <w:rFonts w:hint="default"/>
                <w:color w:val="000000"/>
                <w:sz w:val="20"/>
                <w:szCs w:val="20"/>
                <w:lang w:val="en-US" w:eastAsia="zh-CN"/>
              </w:rPr>
            </w:pPr>
            <w:r>
              <w:rPr>
                <w:rFonts w:hint="default"/>
                <w:color w:val="000000"/>
                <w:sz w:val="20"/>
                <w:szCs w:val="20"/>
                <w:lang w:val="en-US" w:eastAsia="zh-CN"/>
              </w:rPr>
              <w:t>OCNG Patterns for</w:t>
            </w:r>
            <w:r>
              <w:rPr>
                <w:rFonts w:hint="eastAsia"/>
                <w:color w:val="000000"/>
                <w:sz w:val="20"/>
                <w:szCs w:val="20"/>
                <w:lang w:val="en-US" w:eastAsia="zh-CN"/>
              </w:rPr>
              <w:t xml:space="preserve"> TDD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hint="eastAsia" w:eastAsia="Times New Roman"/>
                <w:color w:val="000000"/>
                <w:sz w:val="20"/>
                <w:szCs w:val="20"/>
                <w:lang w:val="fi-FI" w:eastAsia="fi-FI"/>
              </w:rPr>
            </w:pPr>
            <w:r>
              <w:rPr>
                <w:rFonts w:hint="eastAsia" w:eastAsia="Times New Roman"/>
                <w:color w:val="000000"/>
                <w:sz w:val="20"/>
                <w:szCs w:val="20"/>
                <w:lang w:val="fi-FI" w:eastAsia="fi-FI"/>
              </w:rPr>
              <w:t>A.3</w:t>
            </w:r>
            <w:r>
              <w:rPr>
                <w:rFonts w:hint="eastAsia" w:eastAsia="Times New Roman"/>
                <w:color w:val="000000"/>
                <w:sz w:val="20"/>
                <w:szCs w:val="20"/>
                <w:lang w:val="fi-FI" w:eastAsia="fi-FI"/>
              </w:rPr>
              <w:tab/>
            </w:r>
            <w:r>
              <w:rPr>
                <w:rFonts w:hint="eastAsia" w:eastAsia="Times New Roman"/>
                <w:color w:val="000000"/>
                <w:sz w:val="20"/>
                <w:szCs w:val="20"/>
                <w:lang w:val="fi-FI" w:eastAsia="fi-FI"/>
              </w:rPr>
              <w:t>Testing related to Satellite Access</w:t>
            </w:r>
          </w:p>
        </w:tc>
        <w:tc>
          <w:tcPr>
            <w:tcW w:w="5651" w:type="dxa"/>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70" w:hRule="atLeast"/>
        </w:trPr>
        <w:tc>
          <w:tcPr>
            <w:tcW w:w="4149" w:type="dxa"/>
            <w:shd w:val="clear" w:color="000000" w:fill="FFFFFF"/>
            <w:vAlign w:val="center"/>
          </w:tcPr>
          <w:p>
            <w:pPr>
              <w:spacing w:after="0"/>
              <w:rPr>
                <w:rFonts w:hint="eastAsia" w:eastAsia="Times New Roman"/>
                <w:color w:val="000000"/>
                <w:sz w:val="20"/>
                <w:szCs w:val="20"/>
                <w:lang w:val="fi-FI" w:eastAsia="fi-FI"/>
              </w:rPr>
            </w:pPr>
            <w:r>
              <w:rPr>
                <w:rFonts w:hint="eastAsia" w:eastAsia="Times New Roman"/>
                <w:color w:val="000000"/>
                <w:sz w:val="20"/>
                <w:szCs w:val="20"/>
                <w:lang w:val="fi-FI" w:eastAsia="fi-FI"/>
              </w:rPr>
              <w:t>A.4</w:t>
            </w:r>
            <w:r>
              <w:rPr>
                <w:rFonts w:hint="eastAsia" w:eastAsia="Times New Roman"/>
                <w:color w:val="000000"/>
                <w:sz w:val="20"/>
                <w:szCs w:val="20"/>
                <w:lang w:val="fi-FI" w:eastAsia="fi-FI"/>
              </w:rPr>
              <w:tab/>
            </w:r>
            <w:r>
              <w:rPr>
                <w:rFonts w:hint="eastAsia" w:eastAsia="Times New Roman"/>
                <w:color w:val="000000"/>
                <w:sz w:val="20"/>
                <w:szCs w:val="20"/>
                <w:lang w:val="fi-FI" w:eastAsia="fi-FI"/>
              </w:rPr>
              <w:t>UL reference measurement channels</w:t>
            </w:r>
          </w:p>
        </w:tc>
        <w:tc>
          <w:tcPr>
            <w:tcW w:w="5651" w:type="dxa"/>
            <w:shd w:val="clear" w:color="auto" w:fill="auto"/>
            <w:vAlign w:val="center"/>
          </w:tcPr>
          <w:p>
            <w:pPr>
              <w:spacing w:after="0"/>
              <w:rPr>
                <w:rFonts w:hint="default"/>
                <w:color w:val="000000"/>
                <w:sz w:val="20"/>
                <w:szCs w:val="20"/>
                <w:lang w:val="en-US" w:eastAsia="zh-CN"/>
              </w:rPr>
            </w:pPr>
            <w:r>
              <w:rPr>
                <w:rFonts w:hint="eastAsia"/>
                <w:color w:val="000000"/>
                <w:sz w:val="20"/>
                <w:szCs w:val="20"/>
                <w:lang w:val="en-US" w:eastAsia="zh-CN"/>
              </w:rPr>
              <w:t>Yes.</w:t>
            </w:r>
          </w:p>
          <w:p>
            <w:pPr>
              <w:spacing w:after="0"/>
              <w:rPr>
                <w:rFonts w:hint="default"/>
                <w:color w:val="000000"/>
                <w:sz w:val="20"/>
                <w:szCs w:val="20"/>
                <w:lang w:val="en-US" w:eastAsia="zh-CN"/>
              </w:rPr>
            </w:pPr>
            <w:r>
              <w:rPr>
                <w:rFonts w:hint="default"/>
                <w:color w:val="000000"/>
                <w:sz w:val="20"/>
                <w:szCs w:val="20"/>
                <w:lang w:val="en-US" w:eastAsia="zh-CN"/>
              </w:rPr>
              <w:t xml:space="preserve">Reference measurement channels for </w:t>
            </w:r>
            <w:r>
              <w:rPr>
                <w:rFonts w:hint="eastAsia"/>
                <w:color w:val="000000"/>
                <w:sz w:val="20"/>
                <w:szCs w:val="20"/>
                <w:lang w:val="en-US" w:eastAsia="zh-CN"/>
              </w:rPr>
              <w:t>TDD should be introduced.</w:t>
            </w:r>
          </w:p>
        </w:tc>
      </w:tr>
    </w:tbl>
    <w:p>
      <w:pPr>
        <w:rPr>
          <w:rFonts w:hint="eastAsia"/>
          <w:b/>
          <w:bCs/>
          <w:i w:val="0"/>
          <w:iCs w:val="0"/>
          <w:sz w:val="20"/>
          <w:szCs w:val="20"/>
          <w:lang w:val="en-US" w:eastAsia="zh-CN"/>
        </w:rPr>
      </w:pPr>
      <w:r>
        <w:rPr>
          <w:rFonts w:hint="eastAsia"/>
          <w:b/>
          <w:bCs/>
          <w:i w:val="0"/>
          <w:iCs w:val="0"/>
          <w:sz w:val="20"/>
          <w:szCs w:val="20"/>
          <w:lang w:val="en-US" w:eastAsia="zh-CN"/>
        </w:rPr>
        <w:t>Observation 3: There is impact on UE RF requirements including DL reference measurement channels, OCND Patterns and UL reference measurement channels due to periodic pattern.</w:t>
      </w:r>
    </w:p>
    <w:p>
      <w:pPr>
        <w:rPr>
          <w:rFonts w:hint="eastAsia"/>
          <w:b/>
          <w:bCs/>
          <w:i w:val="0"/>
          <w:iCs w:val="0"/>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2.3 SAN RF requirements</w:t>
      </w:r>
    </w:p>
    <w:p>
      <w:pPr>
        <w:bidi w:val="0"/>
        <w:rPr>
          <w:rFonts w:hint="eastAsia"/>
          <w:sz w:val="20"/>
          <w:szCs w:val="18"/>
          <w:lang w:val="en-US" w:eastAsia="zh-CN"/>
        </w:rPr>
      </w:pPr>
      <w:r>
        <w:rPr>
          <w:rFonts w:hint="eastAsia"/>
          <w:sz w:val="20"/>
          <w:szCs w:val="18"/>
          <w:lang w:val="en-US" w:eastAsia="zh-CN"/>
        </w:rPr>
        <w:t>The impact on SAN RF requirements due to periodic pattern is listed in the following table.</w:t>
      </w:r>
    </w:p>
    <w:p>
      <w:pPr>
        <w:jc w:val="center"/>
        <w:rPr>
          <w:rFonts w:hint="default"/>
          <w:b/>
          <w:bCs/>
          <w:lang w:val="en-US" w:eastAsia="zh-CN"/>
        </w:rPr>
      </w:pPr>
      <w:r>
        <w:rPr>
          <w:rFonts w:hint="eastAsia" w:cs="Times New Roman"/>
          <w:b/>
          <w:bCs/>
          <w:kern w:val="2"/>
          <w:sz w:val="20"/>
          <w:szCs w:val="20"/>
          <w:lang w:val="en-US" w:eastAsia="zh-CN" w:bidi="ar-SA"/>
        </w:rPr>
        <w:t>Table 3: Impact to SAN RF requirements due to periodic pattern</w:t>
      </w:r>
    </w:p>
    <w:tbl>
      <w:tblPr>
        <w:tblStyle w:val="29"/>
        <w:tblW w:w="0" w:type="auto"/>
        <w:tblInd w:w="0" w:type="dxa"/>
        <w:tblLayout w:type="autofit"/>
        <w:tblCellMar>
          <w:top w:w="0" w:type="dxa"/>
          <w:left w:w="70" w:type="dxa"/>
          <w:bottom w:w="0" w:type="dxa"/>
          <w:right w:w="70" w:type="dxa"/>
        </w:tblCellMar>
      </w:tblPr>
      <w:tblGrid>
        <w:gridCol w:w="3309"/>
        <w:gridCol w:w="6472"/>
      </w:tblGrid>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ascii="Calibri" w:hAnsi="Calibri" w:eastAsia="宋体" w:cs="Calibri"/>
                <w:b/>
                <w:bCs/>
                <w:color w:val="000000"/>
                <w:sz w:val="20"/>
                <w:szCs w:val="20"/>
                <w:lang w:val="en-US" w:eastAsia="zh-CN"/>
              </w:rPr>
            </w:pPr>
            <w:r>
              <w:rPr>
                <w:rFonts w:hint="eastAsia" w:cs="Times New Roman"/>
                <w:b/>
                <w:bCs/>
                <w:kern w:val="2"/>
                <w:sz w:val="20"/>
                <w:szCs w:val="20"/>
                <w:lang w:val="en-US" w:eastAsia="zh-CN" w:bidi="ar-SA"/>
              </w:rPr>
              <w:t>IoT</w:t>
            </w:r>
            <w:r>
              <w:rPr>
                <w:rFonts w:hint="eastAsia" w:ascii="Times New Roman" w:hAnsi="Times New Roman" w:eastAsia="宋体" w:cs="Times New Roman"/>
                <w:b/>
                <w:bCs/>
                <w:kern w:val="2"/>
                <w:sz w:val="20"/>
                <w:szCs w:val="20"/>
                <w:lang w:val="en-US" w:eastAsia="zh-CN" w:bidi="ar-SA"/>
              </w:rPr>
              <w:t>-NTN</w:t>
            </w:r>
            <w:r>
              <w:rPr>
                <w:rFonts w:hint="eastAsia" w:ascii="Times New Roman" w:hAnsi="Times New Roman" w:eastAsia="宋体" w:cs="Times New Roman"/>
                <w:b/>
                <w:bCs/>
                <w:kern w:val="2"/>
                <w:sz w:val="20"/>
                <w:szCs w:val="20"/>
                <w:lang w:val="en-US" w:eastAsia="fi-FI" w:bidi="ar-SA"/>
              </w:rPr>
              <w:t xml:space="preserve"> </w:t>
            </w:r>
            <w:r>
              <w:rPr>
                <w:rFonts w:hint="eastAsia" w:cs="Times New Roman"/>
                <w:b/>
                <w:bCs/>
                <w:kern w:val="2"/>
                <w:sz w:val="20"/>
                <w:szCs w:val="20"/>
                <w:lang w:val="en-US" w:eastAsia="zh-CN" w:bidi="ar-SA"/>
              </w:rPr>
              <w:t>SAN</w:t>
            </w:r>
            <w:r>
              <w:rPr>
                <w:b/>
                <w:bCs/>
                <w:sz w:val="20"/>
                <w:szCs w:val="20"/>
              </w:rPr>
              <w:t xml:space="preserve"> RF Tx/Rx requirement</w:t>
            </w:r>
            <w:r>
              <w:rPr>
                <w:rFonts w:hint="eastAsia"/>
                <w:b/>
                <w:bCs/>
                <w:sz w:val="20"/>
                <w:szCs w:val="20"/>
                <w:lang w:val="en-US" w:eastAsia="zh-CN"/>
              </w:rPr>
              <w:t>s</w:t>
            </w:r>
          </w:p>
        </w:tc>
        <w:tc>
          <w:tcPr>
            <w:tcW w:w="0" w:type="auto"/>
            <w:tcBorders>
              <w:top w:val="single" w:color="auto" w:sz="4" w:space="0"/>
              <w:left w:val="nil"/>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Calibri" w:hAnsi="Calibri" w:eastAsia="Times New Roman" w:cs="Calibri"/>
                <w:b/>
                <w:bCs/>
                <w:color w:val="000000"/>
                <w:sz w:val="20"/>
                <w:szCs w:val="20"/>
                <w:lang w:val="fi-FI" w:eastAsia="fi-FI"/>
              </w:rPr>
            </w:pPr>
            <w:r>
              <w:rPr>
                <w:rFonts w:hint="eastAsia" w:cs="Times New Roman"/>
                <w:b/>
                <w:bCs/>
                <w:kern w:val="2"/>
                <w:sz w:val="20"/>
                <w:szCs w:val="20"/>
                <w:lang w:val="en-US" w:eastAsia="zh-CN" w:bidi="ar-SA"/>
              </w:rPr>
              <w:t>Whether there is the impact due to periodic pattern</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 xml:space="preserve">6.2 </w:t>
            </w:r>
            <w:r>
              <w:rPr>
                <w:rFonts w:hint="eastAsia"/>
                <w:sz w:val="20"/>
                <w:szCs w:val="20"/>
              </w:rPr>
              <w:t xml:space="preserve">Satellite Access Node output power </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6.3.2 RE power control dynamic range</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6.3.3 Total power dynamic range</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160" w:line="259" w:lineRule="auto"/>
              <w:rPr>
                <w:rFonts w:hint="eastAsia" w:ascii="Times New Roman" w:hAnsi="Times New Roman" w:eastAsia="Times New Roman" w:cs="Times New Roman"/>
                <w:strike/>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6.4 Transmit ON/OFF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6.5 Transmitted signal quality</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6.6.2 Occupied bandwidth</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6.6.3 Adjacent Channel Leakage Power Ratio</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 xml:space="preserve">6.6.4 </w:t>
            </w:r>
            <w:r>
              <w:rPr>
                <w:rFonts w:hint="eastAsia"/>
                <w:sz w:val="20"/>
                <w:szCs w:val="20"/>
              </w:rPr>
              <w:t>Out-of-band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6.6.</w:t>
            </w:r>
            <w:r>
              <w:rPr>
                <w:rFonts w:hint="eastAsia"/>
                <w:sz w:val="20"/>
                <w:szCs w:val="20"/>
                <w:lang w:val="en-US" w:eastAsia="zh-CN"/>
              </w:rPr>
              <w:t>5</w:t>
            </w:r>
            <w:r>
              <w:rPr>
                <w:sz w:val="20"/>
                <w:szCs w:val="20"/>
              </w:rPr>
              <w:t xml:space="preserve"> Transmitter spurious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6.7 Transmitter intermodulation</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 xml:space="preserve">7.2 Reference sensitivity level </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7.3 Dynamic range</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7.4.1 Adjacent Channel Selectivity (ACS)</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7.4.2 In-band blocking</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 xml:space="preserve">7.5 Out-of-band blocking </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strike/>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7.6 Receiver spurious emissions</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宋体"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sz w:val="20"/>
                <w:szCs w:val="20"/>
              </w:rPr>
              <w:t>7.7 Receiver intermodulation</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after="0"/>
              <w:rPr>
                <w:rFonts w:ascii="Times New Roman" w:hAnsi="Times New Roman" w:eastAsia="Times New Roman" w:cs="Times New Roman"/>
                <w:color w:val="000000"/>
                <w:kern w:val="2"/>
                <w:sz w:val="20"/>
                <w:szCs w:val="20"/>
                <w:lang w:val="fi-FI" w:eastAsia="zh-TW" w:bidi="ar-SA"/>
              </w:rPr>
            </w:pPr>
            <w:r>
              <w:rPr>
                <w:sz w:val="20"/>
                <w:szCs w:val="20"/>
              </w:rPr>
              <w:t>7.8 In-channel selectivity</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after="0"/>
              <w:rPr>
                <w:rFonts w:hint="eastAsia" w:ascii="Times New Roman" w:hAnsi="Times New Roman" w:eastAsia="Times New Roman" w:cs="Times New Roman"/>
                <w:color w:val="000000"/>
                <w:kern w:val="2"/>
                <w:sz w:val="20"/>
                <w:szCs w:val="20"/>
                <w:lang w:val="en-US" w:eastAsia="zh-CN" w:bidi="ar-SA"/>
              </w:rPr>
            </w:pPr>
            <w:r>
              <w:rPr>
                <w:rFonts w:hint="eastAsia"/>
                <w:color w:val="000000"/>
                <w:sz w:val="20"/>
                <w:szCs w:val="20"/>
                <w:lang w:val="en-US" w:eastAsia="zh-CN"/>
              </w:rPr>
              <w:t>No.</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hint="eastAsia"/>
                <w:sz w:val="20"/>
                <w:szCs w:val="20"/>
                <w:lang w:val="en-US" w:eastAsia="zh-CN"/>
              </w:rPr>
              <w:t xml:space="preserve">Annex A (normative): </w:t>
            </w:r>
          </w:p>
          <w:p>
            <w:pPr>
              <w:keepNext/>
              <w:keepLines/>
              <w:widowControl w:val="0"/>
              <w:spacing w:after="0"/>
              <w:rPr>
                <w:rFonts w:hint="eastAsia"/>
                <w:sz w:val="20"/>
                <w:szCs w:val="20"/>
                <w:lang w:val="en-US" w:eastAsia="zh-CN"/>
              </w:rPr>
            </w:pPr>
            <w:r>
              <w:rPr>
                <w:rFonts w:hint="eastAsia"/>
                <w:sz w:val="20"/>
                <w:szCs w:val="20"/>
                <w:lang w:val="en-US" w:eastAsia="zh-CN"/>
              </w:rPr>
              <w:t>Reference measurement channels</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color w:val="000000"/>
                <w:sz w:val="20"/>
                <w:szCs w:val="20"/>
                <w:lang w:val="en-US" w:eastAsia="zh-CN"/>
              </w:rPr>
              <w:t>No.</w:t>
            </w:r>
          </w:p>
        </w:tc>
      </w:tr>
    </w:tbl>
    <w:p>
      <w:pPr>
        <w:rPr>
          <w:rFonts w:hint="eastAsia"/>
          <w:b/>
          <w:bCs/>
          <w:i w:val="0"/>
          <w:iCs w:val="0"/>
          <w:sz w:val="20"/>
          <w:szCs w:val="20"/>
          <w:lang w:val="en-US" w:eastAsia="zh-CN"/>
        </w:rPr>
      </w:pPr>
      <w:r>
        <w:rPr>
          <w:rFonts w:hint="eastAsia"/>
          <w:b/>
          <w:bCs/>
          <w:i w:val="0"/>
          <w:iCs w:val="0"/>
          <w:sz w:val="20"/>
          <w:szCs w:val="20"/>
          <w:lang w:val="en-US" w:eastAsia="zh-CN"/>
        </w:rPr>
        <w:t>Observation 4: There is no impact on SAN RF requirements due to periodic pattern.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IoT NTN TDD mode enhancement</w:t>
      </w:r>
      <w:r>
        <w:rPr>
          <w:rFonts w:eastAsia="宋体"/>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1: The periodicity of periodic pattern at least equals 9, and the periodicity of NPSS/NSS/NPBCH are also extended.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1: RAN4 shall firstly study the requirements which may be impacted as below:</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Cell re-selection (T</w:t>
      </w:r>
      <w:r>
        <w:rPr>
          <w:rFonts w:hint="eastAsia"/>
          <w:b/>
          <w:bCs/>
          <w:vertAlign w:val="subscript"/>
          <w:lang w:val="en-US" w:eastAsia="zh-CN"/>
        </w:rPr>
        <w:t>detect</w:t>
      </w:r>
      <w:r>
        <w:rPr>
          <w:rFonts w:hint="eastAsia"/>
          <w:b/>
          <w:bCs/>
          <w:lang w:val="en-US" w:eastAsia="zh-CN"/>
        </w:rPr>
        <w:t>, T</w:t>
      </w:r>
      <w:r>
        <w:rPr>
          <w:rFonts w:hint="eastAsia"/>
          <w:b/>
          <w:bCs/>
          <w:vertAlign w:val="subscript"/>
          <w:lang w:val="en-US" w:eastAsia="zh-CN"/>
        </w:rPr>
        <w:t>evaluation</w:t>
      </w:r>
      <w:r>
        <w:rPr>
          <w:rFonts w:hint="eastAsia"/>
          <w:b/>
          <w:bCs/>
          <w:lang w:val="en-US" w:eastAsia="zh-CN"/>
        </w:rPr>
        <w:t>,T</w:t>
      </w:r>
      <w:r>
        <w:rPr>
          <w:rFonts w:hint="eastAsia"/>
          <w:b/>
          <w:bCs/>
          <w:vertAlign w:val="subscript"/>
          <w:lang w:val="en-US" w:eastAsia="zh-CN"/>
        </w:rPr>
        <w:t>measure</w:t>
      </w:r>
      <w:r>
        <w:rPr>
          <w:rFonts w:hint="eastAsia"/>
          <w:b/>
          <w:bCs/>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Handover (T</w:t>
      </w:r>
      <w:r>
        <w:rPr>
          <w:rFonts w:hint="eastAsia"/>
          <w:b/>
          <w:bCs/>
          <w:vertAlign w:val="subscript"/>
          <w:lang w:val="en-US" w:eastAsia="zh-CN"/>
        </w:rPr>
        <w:t>interruption</w:t>
      </w:r>
      <w:r>
        <w:rPr>
          <w:rFonts w:hint="eastAsia"/>
          <w:b/>
          <w:bCs/>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RRC re-establishment (T</w:t>
      </w:r>
      <w:r>
        <w:rPr>
          <w:rFonts w:hint="eastAsia"/>
          <w:b/>
          <w:bCs/>
          <w:vertAlign w:val="subscript"/>
          <w:lang w:val="en-US" w:eastAsia="zh-CN"/>
        </w:rPr>
        <w:t>search</w:t>
      </w:r>
      <w:r>
        <w:rPr>
          <w:rFonts w:hint="eastAsia"/>
          <w:b/>
          <w:bCs/>
          <w:lang w:val="en-US" w:eastAsia="zh-CN"/>
        </w:rPr>
        <w:t>, T</w:t>
      </w:r>
      <w:r>
        <w:rPr>
          <w:rFonts w:hint="eastAsia"/>
          <w:b/>
          <w:bCs/>
          <w:vertAlign w:val="subscript"/>
          <w:lang w:val="en-US" w:eastAsia="zh-CN"/>
        </w:rPr>
        <w:t>SI</w:t>
      </w:r>
      <w:r>
        <w:rPr>
          <w:rFonts w:hint="eastAsia"/>
          <w:b/>
          <w:bCs/>
          <w:lang w:val="en-US" w:eastAsia="zh-CN"/>
        </w:rPr>
        <w:t>, T</w:t>
      </w:r>
      <w:r>
        <w:rPr>
          <w:rFonts w:hint="eastAsia"/>
          <w:b/>
          <w:bCs/>
          <w:vertAlign w:val="subscript"/>
          <w:lang w:val="en-US" w:eastAsia="zh-CN"/>
        </w:rPr>
        <w:t>PRACH</w:t>
      </w:r>
      <w:r>
        <w:rPr>
          <w:rFonts w:hint="eastAsia"/>
          <w:b/>
          <w:bCs/>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b/>
          <w:bCs/>
          <w:lang w:val="en-US" w:eastAsia="zh-CN"/>
        </w:rPr>
      </w:pPr>
      <w:r>
        <w:rPr>
          <w:rFonts w:hint="eastAsia"/>
          <w:b/>
          <w:bCs/>
          <w:lang w:val="en-US" w:eastAsia="zh-CN"/>
        </w:rPr>
        <w:t>UE measurements procedure in RRC Connected state;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b/>
          <w:bCs/>
          <w:lang w:val="en-US" w:eastAsia="zh-CN"/>
        </w:rPr>
      </w:pPr>
      <w:r>
        <w:rPr>
          <w:rFonts w:hint="eastAsia"/>
          <w:b/>
          <w:bCs/>
          <w:lang w:val="en-US" w:eastAsia="zh-CN"/>
        </w:rPr>
        <w:t>etc.</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Proposal 2: RAN4 to wait for more progress from other WGs on periodic pattern to discuss the RRM impacts.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b/>
          <w:bCs/>
          <w:lang w:val="en-US" w:eastAsia="zh-CN"/>
        </w:rPr>
      </w:pPr>
      <w:r>
        <w:rPr>
          <w:rFonts w:hint="eastAsia"/>
          <w:b/>
          <w:bCs/>
          <w:lang w:val="en-US" w:eastAsia="zh-CN"/>
        </w:rPr>
        <w:t>Observation 2: The legacy Tp and Tq of IoT NTN are reused the value of  legacy IoT 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b/>
          <w:bCs/>
          <w:lang w:val="en-US" w:eastAsia="zh-CN"/>
        </w:rPr>
      </w:pPr>
      <w:r>
        <w:rPr>
          <w:rFonts w:hint="eastAsia"/>
          <w:b/>
          <w:bCs/>
          <w:lang w:val="en-US" w:eastAsia="zh-CN"/>
        </w:rPr>
        <w:t>Proposal 3: The legacy Tp and Tq in IoT NTN can be reused in IoT NTN TDD mode.</w:t>
      </w:r>
    </w:p>
    <w:p>
      <w:pPr>
        <w:rPr>
          <w:rFonts w:hint="eastAsia"/>
          <w:b/>
          <w:bCs/>
          <w:i w:val="0"/>
          <w:iCs w:val="0"/>
          <w:sz w:val="20"/>
          <w:szCs w:val="20"/>
          <w:lang w:val="en-US" w:eastAsia="zh-CN"/>
        </w:rPr>
      </w:pPr>
      <w:r>
        <w:rPr>
          <w:rFonts w:hint="eastAsia"/>
          <w:b/>
          <w:bCs/>
          <w:i w:val="0"/>
          <w:iCs w:val="0"/>
          <w:sz w:val="20"/>
          <w:szCs w:val="20"/>
          <w:lang w:val="en-US" w:eastAsia="zh-CN"/>
        </w:rPr>
        <w:t>Observation 3: There is impact on UE RF requirements including DL reference measurement channels, OCND Patterns and UL reference measurement channels due to periodic pattern.</w:t>
      </w:r>
    </w:p>
    <w:p>
      <w:pPr>
        <w:rPr>
          <w:rFonts w:hint="eastAsia"/>
          <w:b/>
          <w:bCs/>
          <w:i w:val="0"/>
          <w:iCs w:val="0"/>
          <w:sz w:val="20"/>
          <w:szCs w:val="20"/>
          <w:lang w:val="en-US" w:eastAsia="zh-CN"/>
        </w:rPr>
      </w:pPr>
      <w:r>
        <w:rPr>
          <w:rFonts w:hint="eastAsia"/>
          <w:b/>
          <w:bCs/>
          <w:i w:val="0"/>
          <w:iCs w:val="0"/>
          <w:sz w:val="20"/>
          <w:szCs w:val="20"/>
          <w:lang w:val="en-US" w:eastAsia="zh-CN"/>
        </w:rPr>
        <w:t>Observation 4: There is no impact on SAN RF requirements due to periodic pattern.</w:t>
      </w:r>
    </w:p>
    <w:p>
      <w:pPr>
        <w:spacing w:before="120" w:after="120"/>
        <w:rPr>
          <w:rFonts w:eastAsia="宋体"/>
          <w:lang w:eastAsia="zh-CN"/>
        </w:rPr>
      </w:pPr>
    </w:p>
    <w:p>
      <w:pPr>
        <w:pStyle w:val="76"/>
        <w:numPr>
          <w:ilvl w:val="0"/>
          <w:numId w:val="0"/>
        </w:numPr>
        <w:ind w:left="360" w:hanging="360"/>
        <w:rPr>
          <w:lang w:val="en-US"/>
        </w:rPr>
      </w:pPr>
      <w:r>
        <w:rPr>
          <w:rFonts w:hint="eastAsia"/>
          <w:lang w:val="en-US" w:eastAsia="zh-CN"/>
        </w:rPr>
        <w:t xml:space="preserve">4 </w:t>
      </w:r>
      <w:r>
        <w:rPr>
          <w:lang w:val="en-US"/>
        </w:rPr>
        <w:t>References</w:t>
      </w:r>
    </w:p>
    <w:p>
      <w:pPr>
        <w:keepNext/>
        <w:keepLines/>
        <w:pageBreakBefore w:val="0"/>
        <w:widowControl/>
        <w:numPr>
          <w:ilvl w:val="0"/>
          <w:numId w:val="6"/>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bookmarkStart w:id="550" w:name="_Ref114500673"/>
      <w:bookmarkEnd w:id="550"/>
      <w:r>
        <w:rPr>
          <w:rFonts w:hint="eastAsia"/>
          <w:sz w:val="20"/>
          <w:szCs w:val="20"/>
          <w:lang w:val="en-US" w:eastAsia="zh-CN"/>
        </w:rPr>
        <w:t>RP-242415, New WID on introduction of IoT-NTN TDD mode, Iridium Satellite LLC</w:t>
      </w:r>
    </w:p>
    <w:p>
      <w:pPr>
        <w:numPr>
          <w:ilvl w:val="0"/>
          <w:numId w:val="6"/>
        </w:numPr>
        <w:ind w:left="0" w:leftChars="0" w:firstLine="0" w:firstLineChars="0"/>
        <w:rPr>
          <w:rFonts w:hint="eastAsia"/>
          <w:lang w:val="en-US" w:eastAsia="zh-CN"/>
        </w:rPr>
      </w:pPr>
      <w:r>
        <w:rPr>
          <w:rFonts w:hint="eastAsia"/>
          <w:lang w:val="en-US" w:eastAsia="zh-CN"/>
        </w:rPr>
        <w:t>TS36.133</w:t>
      </w:r>
    </w:p>
    <w:p>
      <w:pPr>
        <w:numPr>
          <w:ilvl w:val="0"/>
          <w:numId w:val="6"/>
        </w:numPr>
        <w:ind w:left="0" w:leftChars="0" w:firstLine="0" w:firstLineChars="0"/>
        <w:rPr>
          <w:rFonts w:hint="default"/>
          <w:lang w:val="en-US" w:eastAsia="zh-CN"/>
        </w:rPr>
      </w:pPr>
      <w:r>
        <w:rPr>
          <w:rFonts w:hint="eastAsia"/>
          <w:lang w:val="en-US" w:eastAsia="zh-CN"/>
        </w:rPr>
        <w:t>R1-2408871, Qualcomm Incorporated</w:t>
      </w:r>
    </w:p>
    <w:p>
      <w:pPr>
        <w:numPr>
          <w:ilvl w:val="0"/>
          <w:numId w:val="6"/>
        </w:numPr>
        <w:ind w:left="0" w:leftChars="0" w:firstLine="0" w:firstLineChars="0"/>
        <w:rPr>
          <w:rFonts w:hint="default"/>
          <w:lang w:val="en-US" w:eastAsia="zh-CN"/>
        </w:rPr>
      </w:pPr>
      <w:r>
        <w:rPr>
          <w:rFonts w:hint="eastAsia"/>
          <w:lang w:val="en-US" w:eastAsia="zh-CN"/>
        </w:rPr>
        <w:t>R1-2407772, Thales</w:t>
      </w:r>
    </w:p>
    <w:p>
      <w:pPr>
        <w:numPr>
          <w:ilvl w:val="0"/>
          <w:numId w:val="6"/>
        </w:numPr>
        <w:ind w:left="0" w:leftChars="0" w:firstLine="0" w:firstLineChars="0"/>
        <w:rPr>
          <w:rFonts w:hint="default"/>
          <w:lang w:val="en-US" w:eastAsia="zh-CN"/>
        </w:rPr>
      </w:pPr>
      <w:r>
        <w:rPr>
          <w:rFonts w:hint="eastAsia"/>
          <w:lang w:val="en-US" w:eastAsia="zh-CN"/>
        </w:rPr>
        <w:t>R1-2407937, ZTE Corporation, Sanechips</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EB747"/>
    <w:multiLevelType w:val="singleLevel"/>
    <w:tmpl w:val="9A6EB747"/>
    <w:lvl w:ilvl="0" w:tentative="0">
      <w:start w:val="1"/>
      <w:numFmt w:val="bullet"/>
      <w:lvlText w:val=""/>
      <w:lvlJc w:val="left"/>
      <w:pPr>
        <w:ind w:left="420" w:hanging="420"/>
      </w:pPr>
      <w:rPr>
        <w:rFonts w:hint="default" w:ascii="Wingdings" w:hAnsi="Wingdings"/>
      </w:rPr>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F723A5E"/>
    <w:multiLevelType w:val="singleLevel"/>
    <w:tmpl w:val="5F723A5E"/>
    <w:lvl w:ilvl="0" w:tentative="0">
      <w:start w:val="1"/>
      <w:numFmt w:val="decimal"/>
      <w:suff w:val="space"/>
      <w:lvlText w:val="[%1]"/>
      <w:lvlJc w:val="left"/>
    </w:lvl>
  </w:abstractNum>
  <w:abstractNum w:abstractNumId="4">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2383"/>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0373E"/>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742D8F"/>
    <w:rsid w:val="01862D0E"/>
    <w:rsid w:val="018F1743"/>
    <w:rsid w:val="018F25C8"/>
    <w:rsid w:val="01906A5B"/>
    <w:rsid w:val="01907C39"/>
    <w:rsid w:val="019F41BD"/>
    <w:rsid w:val="01CE0603"/>
    <w:rsid w:val="01D51FE8"/>
    <w:rsid w:val="01E70C97"/>
    <w:rsid w:val="01EA15CF"/>
    <w:rsid w:val="0209621F"/>
    <w:rsid w:val="021951FF"/>
    <w:rsid w:val="023A59BC"/>
    <w:rsid w:val="02402E7C"/>
    <w:rsid w:val="024F315C"/>
    <w:rsid w:val="02505886"/>
    <w:rsid w:val="025A5C68"/>
    <w:rsid w:val="026D6C37"/>
    <w:rsid w:val="027C74A2"/>
    <w:rsid w:val="029011A2"/>
    <w:rsid w:val="02A03627"/>
    <w:rsid w:val="02B66382"/>
    <w:rsid w:val="02D75C0C"/>
    <w:rsid w:val="02DB4554"/>
    <w:rsid w:val="02DD1CD4"/>
    <w:rsid w:val="02DF0D66"/>
    <w:rsid w:val="02EC4357"/>
    <w:rsid w:val="02EE768C"/>
    <w:rsid w:val="02FA1082"/>
    <w:rsid w:val="031778E0"/>
    <w:rsid w:val="0327096F"/>
    <w:rsid w:val="032737B0"/>
    <w:rsid w:val="032A315A"/>
    <w:rsid w:val="03481CC2"/>
    <w:rsid w:val="034E163D"/>
    <w:rsid w:val="034F02E2"/>
    <w:rsid w:val="03572405"/>
    <w:rsid w:val="037709BE"/>
    <w:rsid w:val="037A1943"/>
    <w:rsid w:val="03AF196F"/>
    <w:rsid w:val="03BF3D9F"/>
    <w:rsid w:val="03BF72E7"/>
    <w:rsid w:val="03C80AD2"/>
    <w:rsid w:val="03C95263"/>
    <w:rsid w:val="03CA7EB2"/>
    <w:rsid w:val="03F0584F"/>
    <w:rsid w:val="03F61251"/>
    <w:rsid w:val="03FB5627"/>
    <w:rsid w:val="04043AA5"/>
    <w:rsid w:val="04076F95"/>
    <w:rsid w:val="0409766A"/>
    <w:rsid w:val="04242812"/>
    <w:rsid w:val="04383CC9"/>
    <w:rsid w:val="04421BA4"/>
    <w:rsid w:val="044B12E0"/>
    <w:rsid w:val="046301A2"/>
    <w:rsid w:val="04732FB8"/>
    <w:rsid w:val="04871DE8"/>
    <w:rsid w:val="048F6485"/>
    <w:rsid w:val="04A12403"/>
    <w:rsid w:val="04A815F7"/>
    <w:rsid w:val="04AB1CB5"/>
    <w:rsid w:val="04AD06A4"/>
    <w:rsid w:val="04BD1E3A"/>
    <w:rsid w:val="04D5637C"/>
    <w:rsid w:val="050C7718"/>
    <w:rsid w:val="0510745B"/>
    <w:rsid w:val="05214F03"/>
    <w:rsid w:val="052F7D10"/>
    <w:rsid w:val="055E02FB"/>
    <w:rsid w:val="05630D81"/>
    <w:rsid w:val="056A3BE2"/>
    <w:rsid w:val="058C4826"/>
    <w:rsid w:val="05AD05DE"/>
    <w:rsid w:val="05AE2916"/>
    <w:rsid w:val="05B1379B"/>
    <w:rsid w:val="05C20597"/>
    <w:rsid w:val="05C6466C"/>
    <w:rsid w:val="05DB67C3"/>
    <w:rsid w:val="05E60F0C"/>
    <w:rsid w:val="05F02736"/>
    <w:rsid w:val="05F61BB8"/>
    <w:rsid w:val="06026AB1"/>
    <w:rsid w:val="060D0D66"/>
    <w:rsid w:val="062C2061"/>
    <w:rsid w:val="062D43AF"/>
    <w:rsid w:val="06311BAC"/>
    <w:rsid w:val="066722D4"/>
    <w:rsid w:val="067C67DB"/>
    <w:rsid w:val="067F65D2"/>
    <w:rsid w:val="068158A4"/>
    <w:rsid w:val="06A05FC0"/>
    <w:rsid w:val="06AE1485"/>
    <w:rsid w:val="06E54956"/>
    <w:rsid w:val="07005A0C"/>
    <w:rsid w:val="07007517"/>
    <w:rsid w:val="07073FA3"/>
    <w:rsid w:val="070F1174"/>
    <w:rsid w:val="072F7FC6"/>
    <w:rsid w:val="0732584E"/>
    <w:rsid w:val="074109F4"/>
    <w:rsid w:val="07583E9D"/>
    <w:rsid w:val="075A7EF6"/>
    <w:rsid w:val="076202A2"/>
    <w:rsid w:val="076A2A73"/>
    <w:rsid w:val="077C5356"/>
    <w:rsid w:val="078759D7"/>
    <w:rsid w:val="0789183B"/>
    <w:rsid w:val="07AE506C"/>
    <w:rsid w:val="07C05808"/>
    <w:rsid w:val="07C22AAD"/>
    <w:rsid w:val="07C3764D"/>
    <w:rsid w:val="07C644D1"/>
    <w:rsid w:val="07F66AC5"/>
    <w:rsid w:val="07FA2981"/>
    <w:rsid w:val="081F651B"/>
    <w:rsid w:val="082C76F8"/>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C56DB2"/>
    <w:rsid w:val="08C90024"/>
    <w:rsid w:val="08CF0DB9"/>
    <w:rsid w:val="08D53034"/>
    <w:rsid w:val="08DA28B3"/>
    <w:rsid w:val="08DD2BEF"/>
    <w:rsid w:val="0903652D"/>
    <w:rsid w:val="090556C6"/>
    <w:rsid w:val="09104DCD"/>
    <w:rsid w:val="0913040F"/>
    <w:rsid w:val="094C40B4"/>
    <w:rsid w:val="095B4A62"/>
    <w:rsid w:val="09606948"/>
    <w:rsid w:val="096D2D40"/>
    <w:rsid w:val="096D7D04"/>
    <w:rsid w:val="096E0D4F"/>
    <w:rsid w:val="09736AE0"/>
    <w:rsid w:val="099C4684"/>
    <w:rsid w:val="09E30E5D"/>
    <w:rsid w:val="09F25D5F"/>
    <w:rsid w:val="0A1131EF"/>
    <w:rsid w:val="0A141797"/>
    <w:rsid w:val="0A143BE1"/>
    <w:rsid w:val="0A220AAD"/>
    <w:rsid w:val="0A263E9C"/>
    <w:rsid w:val="0A286DFB"/>
    <w:rsid w:val="0A5002F7"/>
    <w:rsid w:val="0A5164D1"/>
    <w:rsid w:val="0A5C46AC"/>
    <w:rsid w:val="0A6C43DE"/>
    <w:rsid w:val="0A8D7FF9"/>
    <w:rsid w:val="0ABC02E8"/>
    <w:rsid w:val="0AC16484"/>
    <w:rsid w:val="0ACB2015"/>
    <w:rsid w:val="0AD20D5E"/>
    <w:rsid w:val="0AD555AC"/>
    <w:rsid w:val="0AED24FC"/>
    <w:rsid w:val="0B0F4A80"/>
    <w:rsid w:val="0B1B1997"/>
    <w:rsid w:val="0B24532C"/>
    <w:rsid w:val="0B3F6621"/>
    <w:rsid w:val="0B46021F"/>
    <w:rsid w:val="0B4D2A88"/>
    <w:rsid w:val="0B527B25"/>
    <w:rsid w:val="0B5843AD"/>
    <w:rsid w:val="0B5B4CA4"/>
    <w:rsid w:val="0B5E04B4"/>
    <w:rsid w:val="0B5E0983"/>
    <w:rsid w:val="0B6130F7"/>
    <w:rsid w:val="0B6A4840"/>
    <w:rsid w:val="0B707256"/>
    <w:rsid w:val="0B7129F9"/>
    <w:rsid w:val="0B744B6D"/>
    <w:rsid w:val="0B7E60C9"/>
    <w:rsid w:val="0B8730CC"/>
    <w:rsid w:val="0B927AF3"/>
    <w:rsid w:val="0B987AF4"/>
    <w:rsid w:val="0B997D22"/>
    <w:rsid w:val="0BA069F6"/>
    <w:rsid w:val="0BB6397D"/>
    <w:rsid w:val="0BC97B63"/>
    <w:rsid w:val="0BD644F2"/>
    <w:rsid w:val="0BE05B3D"/>
    <w:rsid w:val="0BEB139D"/>
    <w:rsid w:val="0BEF4F2C"/>
    <w:rsid w:val="0BF03462"/>
    <w:rsid w:val="0BF56721"/>
    <w:rsid w:val="0C0B5D87"/>
    <w:rsid w:val="0C1E2E71"/>
    <w:rsid w:val="0C2D4BD9"/>
    <w:rsid w:val="0C5161F8"/>
    <w:rsid w:val="0C52360D"/>
    <w:rsid w:val="0C6B5BA9"/>
    <w:rsid w:val="0C6E60F3"/>
    <w:rsid w:val="0C7C1976"/>
    <w:rsid w:val="0C830617"/>
    <w:rsid w:val="0CAC6DE2"/>
    <w:rsid w:val="0CBA5E3E"/>
    <w:rsid w:val="0CCB3B11"/>
    <w:rsid w:val="0CDE5118"/>
    <w:rsid w:val="0CDE55BC"/>
    <w:rsid w:val="0CDF3914"/>
    <w:rsid w:val="0CE7776D"/>
    <w:rsid w:val="0CEA2CF7"/>
    <w:rsid w:val="0D035130"/>
    <w:rsid w:val="0D23336E"/>
    <w:rsid w:val="0D284B82"/>
    <w:rsid w:val="0D2D1208"/>
    <w:rsid w:val="0D3A5239"/>
    <w:rsid w:val="0D3A7039"/>
    <w:rsid w:val="0D4356A8"/>
    <w:rsid w:val="0D8735F9"/>
    <w:rsid w:val="0D8972A3"/>
    <w:rsid w:val="0D8C24E1"/>
    <w:rsid w:val="0D94436C"/>
    <w:rsid w:val="0D980C13"/>
    <w:rsid w:val="0DB607B8"/>
    <w:rsid w:val="0DB963BF"/>
    <w:rsid w:val="0DC22600"/>
    <w:rsid w:val="0DC51AC4"/>
    <w:rsid w:val="0DC63EF2"/>
    <w:rsid w:val="0DD33F97"/>
    <w:rsid w:val="0DD75C5E"/>
    <w:rsid w:val="0DE9579A"/>
    <w:rsid w:val="0DE969F5"/>
    <w:rsid w:val="0DED4141"/>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2550AA"/>
    <w:rsid w:val="0F2B36C0"/>
    <w:rsid w:val="0F3A116B"/>
    <w:rsid w:val="0F4942A2"/>
    <w:rsid w:val="0F4A66BD"/>
    <w:rsid w:val="0F511411"/>
    <w:rsid w:val="0F703346"/>
    <w:rsid w:val="0F80004E"/>
    <w:rsid w:val="0F871EAB"/>
    <w:rsid w:val="0F9D3FD2"/>
    <w:rsid w:val="0F9F1528"/>
    <w:rsid w:val="0FDF5A14"/>
    <w:rsid w:val="0FFF3FF2"/>
    <w:rsid w:val="10043FB2"/>
    <w:rsid w:val="1008703A"/>
    <w:rsid w:val="10126FBC"/>
    <w:rsid w:val="103809FF"/>
    <w:rsid w:val="10764104"/>
    <w:rsid w:val="108A5F33"/>
    <w:rsid w:val="1096068D"/>
    <w:rsid w:val="109F23E5"/>
    <w:rsid w:val="10B951CF"/>
    <w:rsid w:val="10BB3068"/>
    <w:rsid w:val="10D24280"/>
    <w:rsid w:val="10D82C05"/>
    <w:rsid w:val="10FC1774"/>
    <w:rsid w:val="10FC7A16"/>
    <w:rsid w:val="110D2C89"/>
    <w:rsid w:val="110E3EB6"/>
    <w:rsid w:val="11131D94"/>
    <w:rsid w:val="111778A8"/>
    <w:rsid w:val="111E4B32"/>
    <w:rsid w:val="1124277B"/>
    <w:rsid w:val="113B4A52"/>
    <w:rsid w:val="114E4423"/>
    <w:rsid w:val="11617971"/>
    <w:rsid w:val="11622F64"/>
    <w:rsid w:val="116F4939"/>
    <w:rsid w:val="117400AF"/>
    <w:rsid w:val="11782338"/>
    <w:rsid w:val="11846297"/>
    <w:rsid w:val="1186164E"/>
    <w:rsid w:val="118660F9"/>
    <w:rsid w:val="1187354D"/>
    <w:rsid w:val="1191682E"/>
    <w:rsid w:val="11A4592F"/>
    <w:rsid w:val="11AD4D58"/>
    <w:rsid w:val="11B5691A"/>
    <w:rsid w:val="11B67206"/>
    <w:rsid w:val="11BA4661"/>
    <w:rsid w:val="11BA6A1A"/>
    <w:rsid w:val="11DA456B"/>
    <w:rsid w:val="11E411C4"/>
    <w:rsid w:val="11EE75FC"/>
    <w:rsid w:val="11FA2349"/>
    <w:rsid w:val="12044AB3"/>
    <w:rsid w:val="120C7685"/>
    <w:rsid w:val="121015B2"/>
    <w:rsid w:val="12342A01"/>
    <w:rsid w:val="12371472"/>
    <w:rsid w:val="12533BE9"/>
    <w:rsid w:val="12563736"/>
    <w:rsid w:val="12583BA5"/>
    <w:rsid w:val="126548EE"/>
    <w:rsid w:val="12817181"/>
    <w:rsid w:val="129E41E5"/>
    <w:rsid w:val="12AA4BE9"/>
    <w:rsid w:val="12B1333A"/>
    <w:rsid w:val="12C003F7"/>
    <w:rsid w:val="12C7679B"/>
    <w:rsid w:val="12DD774D"/>
    <w:rsid w:val="12E20B88"/>
    <w:rsid w:val="130D494D"/>
    <w:rsid w:val="13202B24"/>
    <w:rsid w:val="133E4EC4"/>
    <w:rsid w:val="135702FC"/>
    <w:rsid w:val="13581549"/>
    <w:rsid w:val="136404F3"/>
    <w:rsid w:val="137E2663"/>
    <w:rsid w:val="13B61E8E"/>
    <w:rsid w:val="13C23A1B"/>
    <w:rsid w:val="13C76244"/>
    <w:rsid w:val="13CF28FB"/>
    <w:rsid w:val="13DA7C15"/>
    <w:rsid w:val="13EA5E5F"/>
    <w:rsid w:val="13EC3FBB"/>
    <w:rsid w:val="14015831"/>
    <w:rsid w:val="140329A8"/>
    <w:rsid w:val="14107AE9"/>
    <w:rsid w:val="14157DFD"/>
    <w:rsid w:val="14175E0A"/>
    <w:rsid w:val="141F1BA5"/>
    <w:rsid w:val="142A2204"/>
    <w:rsid w:val="144E7AE0"/>
    <w:rsid w:val="1452019E"/>
    <w:rsid w:val="1472255F"/>
    <w:rsid w:val="14782396"/>
    <w:rsid w:val="148942E3"/>
    <w:rsid w:val="148B031E"/>
    <w:rsid w:val="14AC25B0"/>
    <w:rsid w:val="14AE0BED"/>
    <w:rsid w:val="14AF303C"/>
    <w:rsid w:val="14BE1377"/>
    <w:rsid w:val="14BE55AD"/>
    <w:rsid w:val="14D436B1"/>
    <w:rsid w:val="14E52CFF"/>
    <w:rsid w:val="15010F20"/>
    <w:rsid w:val="1502113A"/>
    <w:rsid w:val="151308D4"/>
    <w:rsid w:val="15281376"/>
    <w:rsid w:val="153A74E0"/>
    <w:rsid w:val="15422545"/>
    <w:rsid w:val="156508EF"/>
    <w:rsid w:val="15693006"/>
    <w:rsid w:val="15716A99"/>
    <w:rsid w:val="157177C3"/>
    <w:rsid w:val="15755788"/>
    <w:rsid w:val="157F2CB1"/>
    <w:rsid w:val="1581047E"/>
    <w:rsid w:val="15895642"/>
    <w:rsid w:val="15A444EB"/>
    <w:rsid w:val="15B0540D"/>
    <w:rsid w:val="15B7532E"/>
    <w:rsid w:val="15C84147"/>
    <w:rsid w:val="15CA017F"/>
    <w:rsid w:val="15D44CB9"/>
    <w:rsid w:val="15D64DE0"/>
    <w:rsid w:val="15D71AD5"/>
    <w:rsid w:val="15DC38C2"/>
    <w:rsid w:val="15F23B4A"/>
    <w:rsid w:val="15FC08F6"/>
    <w:rsid w:val="15FF5FA5"/>
    <w:rsid w:val="160339FE"/>
    <w:rsid w:val="16385E17"/>
    <w:rsid w:val="1646133C"/>
    <w:rsid w:val="16535A2F"/>
    <w:rsid w:val="165931D9"/>
    <w:rsid w:val="165D1188"/>
    <w:rsid w:val="16682D3E"/>
    <w:rsid w:val="167046E9"/>
    <w:rsid w:val="167E382D"/>
    <w:rsid w:val="16B64EC9"/>
    <w:rsid w:val="16C8771D"/>
    <w:rsid w:val="16DC0535"/>
    <w:rsid w:val="16FA20DA"/>
    <w:rsid w:val="17060D55"/>
    <w:rsid w:val="170716B6"/>
    <w:rsid w:val="170F5DE2"/>
    <w:rsid w:val="171966F1"/>
    <w:rsid w:val="17203431"/>
    <w:rsid w:val="172C56B5"/>
    <w:rsid w:val="1748083E"/>
    <w:rsid w:val="17553F9F"/>
    <w:rsid w:val="175623CE"/>
    <w:rsid w:val="175E2809"/>
    <w:rsid w:val="176538DA"/>
    <w:rsid w:val="17787D90"/>
    <w:rsid w:val="1794775D"/>
    <w:rsid w:val="17BB3CFC"/>
    <w:rsid w:val="17C376AD"/>
    <w:rsid w:val="17CB4905"/>
    <w:rsid w:val="17D01F3A"/>
    <w:rsid w:val="17DC7DAF"/>
    <w:rsid w:val="17DF40F7"/>
    <w:rsid w:val="180E4FC5"/>
    <w:rsid w:val="18171331"/>
    <w:rsid w:val="181F3A21"/>
    <w:rsid w:val="18396192"/>
    <w:rsid w:val="184A4BE3"/>
    <w:rsid w:val="18500258"/>
    <w:rsid w:val="185060EC"/>
    <w:rsid w:val="18543427"/>
    <w:rsid w:val="18545FAF"/>
    <w:rsid w:val="185A42FA"/>
    <w:rsid w:val="187A2E35"/>
    <w:rsid w:val="18870C54"/>
    <w:rsid w:val="189D2207"/>
    <w:rsid w:val="18A45C40"/>
    <w:rsid w:val="18D57338"/>
    <w:rsid w:val="18E96032"/>
    <w:rsid w:val="18EE62E8"/>
    <w:rsid w:val="18F96461"/>
    <w:rsid w:val="19021DA3"/>
    <w:rsid w:val="19094BBF"/>
    <w:rsid w:val="19116F8E"/>
    <w:rsid w:val="194E6691"/>
    <w:rsid w:val="19551A74"/>
    <w:rsid w:val="195942F0"/>
    <w:rsid w:val="195F7D63"/>
    <w:rsid w:val="196B18E4"/>
    <w:rsid w:val="1975604A"/>
    <w:rsid w:val="197A625B"/>
    <w:rsid w:val="197C2433"/>
    <w:rsid w:val="19933139"/>
    <w:rsid w:val="19A370D2"/>
    <w:rsid w:val="19AC4F46"/>
    <w:rsid w:val="19BD7FCA"/>
    <w:rsid w:val="19C83DDC"/>
    <w:rsid w:val="19CC6F5F"/>
    <w:rsid w:val="19D57461"/>
    <w:rsid w:val="19E5590B"/>
    <w:rsid w:val="19E74602"/>
    <w:rsid w:val="19EE7D0B"/>
    <w:rsid w:val="1A0728E2"/>
    <w:rsid w:val="1A077D86"/>
    <w:rsid w:val="1A085685"/>
    <w:rsid w:val="1A191F3E"/>
    <w:rsid w:val="1A342071"/>
    <w:rsid w:val="1A5163D6"/>
    <w:rsid w:val="1A54768F"/>
    <w:rsid w:val="1A5A669E"/>
    <w:rsid w:val="1A796C32"/>
    <w:rsid w:val="1A9B6333"/>
    <w:rsid w:val="1AA11028"/>
    <w:rsid w:val="1AB9028C"/>
    <w:rsid w:val="1AB91166"/>
    <w:rsid w:val="1ABD699B"/>
    <w:rsid w:val="1AC56317"/>
    <w:rsid w:val="1AD6319E"/>
    <w:rsid w:val="1AE47B80"/>
    <w:rsid w:val="1B4B651F"/>
    <w:rsid w:val="1B777BC9"/>
    <w:rsid w:val="1B7D10D5"/>
    <w:rsid w:val="1B8D6B92"/>
    <w:rsid w:val="1B936CD6"/>
    <w:rsid w:val="1B990279"/>
    <w:rsid w:val="1B9B4E1C"/>
    <w:rsid w:val="1B9C50E9"/>
    <w:rsid w:val="1BA11A37"/>
    <w:rsid w:val="1BA13662"/>
    <w:rsid w:val="1BA43ED6"/>
    <w:rsid w:val="1BAA5FDD"/>
    <w:rsid w:val="1BAD4429"/>
    <w:rsid w:val="1BB80557"/>
    <w:rsid w:val="1BBC1606"/>
    <w:rsid w:val="1BD815BE"/>
    <w:rsid w:val="1BD91A80"/>
    <w:rsid w:val="1BE10BC8"/>
    <w:rsid w:val="1BE134D0"/>
    <w:rsid w:val="1BE641ED"/>
    <w:rsid w:val="1BF24F3D"/>
    <w:rsid w:val="1C1D36F1"/>
    <w:rsid w:val="1C1F1D32"/>
    <w:rsid w:val="1C200EAE"/>
    <w:rsid w:val="1C291BAA"/>
    <w:rsid w:val="1C386892"/>
    <w:rsid w:val="1C3A035E"/>
    <w:rsid w:val="1C4A2683"/>
    <w:rsid w:val="1C5F292D"/>
    <w:rsid w:val="1C5F3B2B"/>
    <w:rsid w:val="1C631E26"/>
    <w:rsid w:val="1C7530BF"/>
    <w:rsid w:val="1C8361D3"/>
    <w:rsid w:val="1C954E9B"/>
    <w:rsid w:val="1CA64AB4"/>
    <w:rsid w:val="1CBB1BB0"/>
    <w:rsid w:val="1CBC5611"/>
    <w:rsid w:val="1CCB7770"/>
    <w:rsid w:val="1CD22EF6"/>
    <w:rsid w:val="1CD7177C"/>
    <w:rsid w:val="1CF005FD"/>
    <w:rsid w:val="1CF6531E"/>
    <w:rsid w:val="1CF73467"/>
    <w:rsid w:val="1D0B195E"/>
    <w:rsid w:val="1D1B606C"/>
    <w:rsid w:val="1D3570D5"/>
    <w:rsid w:val="1D4E0EB2"/>
    <w:rsid w:val="1D607992"/>
    <w:rsid w:val="1D693FA7"/>
    <w:rsid w:val="1D771F63"/>
    <w:rsid w:val="1D8F4E65"/>
    <w:rsid w:val="1D9C0F42"/>
    <w:rsid w:val="1DA063BF"/>
    <w:rsid w:val="1DA23326"/>
    <w:rsid w:val="1DAB5436"/>
    <w:rsid w:val="1DAE7EBF"/>
    <w:rsid w:val="1DB41D7B"/>
    <w:rsid w:val="1DB553DF"/>
    <w:rsid w:val="1DBF1882"/>
    <w:rsid w:val="1DC84414"/>
    <w:rsid w:val="1DCA3F6C"/>
    <w:rsid w:val="1DD36C07"/>
    <w:rsid w:val="1DF17BE1"/>
    <w:rsid w:val="1DF91071"/>
    <w:rsid w:val="1E004D92"/>
    <w:rsid w:val="1E167557"/>
    <w:rsid w:val="1E302A17"/>
    <w:rsid w:val="1E4719A3"/>
    <w:rsid w:val="1E551952"/>
    <w:rsid w:val="1E5F1F97"/>
    <w:rsid w:val="1E6C5F4E"/>
    <w:rsid w:val="1E755015"/>
    <w:rsid w:val="1EA65561"/>
    <w:rsid w:val="1EAD4127"/>
    <w:rsid w:val="1EB70BD9"/>
    <w:rsid w:val="1EB8797A"/>
    <w:rsid w:val="1ECA7392"/>
    <w:rsid w:val="1EEC719E"/>
    <w:rsid w:val="1EEE2F09"/>
    <w:rsid w:val="1EF7018A"/>
    <w:rsid w:val="1F0242AA"/>
    <w:rsid w:val="1F044236"/>
    <w:rsid w:val="1F111D05"/>
    <w:rsid w:val="1F25251D"/>
    <w:rsid w:val="1F2B5438"/>
    <w:rsid w:val="1F390590"/>
    <w:rsid w:val="1F424A01"/>
    <w:rsid w:val="1F4B0BE5"/>
    <w:rsid w:val="1F4C33CB"/>
    <w:rsid w:val="1F4C6748"/>
    <w:rsid w:val="1F595467"/>
    <w:rsid w:val="1F5B2F4F"/>
    <w:rsid w:val="1F5C06A1"/>
    <w:rsid w:val="1F774357"/>
    <w:rsid w:val="1F85321F"/>
    <w:rsid w:val="1FA93A51"/>
    <w:rsid w:val="1FB80942"/>
    <w:rsid w:val="1FBB5482"/>
    <w:rsid w:val="1FCE373D"/>
    <w:rsid w:val="2001262E"/>
    <w:rsid w:val="200D64BE"/>
    <w:rsid w:val="20153599"/>
    <w:rsid w:val="201B2789"/>
    <w:rsid w:val="20214DF0"/>
    <w:rsid w:val="20256516"/>
    <w:rsid w:val="203D39F0"/>
    <w:rsid w:val="20501935"/>
    <w:rsid w:val="20584BED"/>
    <w:rsid w:val="207F7CDD"/>
    <w:rsid w:val="20A4578F"/>
    <w:rsid w:val="20BC55C4"/>
    <w:rsid w:val="20D40A6C"/>
    <w:rsid w:val="20D60AAE"/>
    <w:rsid w:val="20E35826"/>
    <w:rsid w:val="21061BA2"/>
    <w:rsid w:val="21111EDC"/>
    <w:rsid w:val="2121427E"/>
    <w:rsid w:val="21262CBA"/>
    <w:rsid w:val="212B1C97"/>
    <w:rsid w:val="21361FB5"/>
    <w:rsid w:val="214B3D89"/>
    <w:rsid w:val="214C402C"/>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935B5"/>
    <w:rsid w:val="22923DE9"/>
    <w:rsid w:val="22973417"/>
    <w:rsid w:val="229D5794"/>
    <w:rsid w:val="22AD1241"/>
    <w:rsid w:val="22BA2F33"/>
    <w:rsid w:val="22C17DB5"/>
    <w:rsid w:val="22C32593"/>
    <w:rsid w:val="22C629AC"/>
    <w:rsid w:val="22D6244E"/>
    <w:rsid w:val="22DD27AA"/>
    <w:rsid w:val="22E96F92"/>
    <w:rsid w:val="23060CEA"/>
    <w:rsid w:val="23061E9D"/>
    <w:rsid w:val="230D3451"/>
    <w:rsid w:val="230E5678"/>
    <w:rsid w:val="23257653"/>
    <w:rsid w:val="23346FCE"/>
    <w:rsid w:val="23441FFA"/>
    <w:rsid w:val="234B3276"/>
    <w:rsid w:val="23603619"/>
    <w:rsid w:val="23626207"/>
    <w:rsid w:val="23773623"/>
    <w:rsid w:val="2377693D"/>
    <w:rsid w:val="239C0243"/>
    <w:rsid w:val="239F724D"/>
    <w:rsid w:val="23A14082"/>
    <w:rsid w:val="23AB1721"/>
    <w:rsid w:val="23BD1C54"/>
    <w:rsid w:val="23D90902"/>
    <w:rsid w:val="23DA1C5E"/>
    <w:rsid w:val="23EF0BE1"/>
    <w:rsid w:val="23FA709A"/>
    <w:rsid w:val="24002E5E"/>
    <w:rsid w:val="24232DE5"/>
    <w:rsid w:val="244A408C"/>
    <w:rsid w:val="24594095"/>
    <w:rsid w:val="245A6743"/>
    <w:rsid w:val="246A08B9"/>
    <w:rsid w:val="24754B15"/>
    <w:rsid w:val="247F64CC"/>
    <w:rsid w:val="248D420D"/>
    <w:rsid w:val="24921B27"/>
    <w:rsid w:val="24A0121D"/>
    <w:rsid w:val="24B0652D"/>
    <w:rsid w:val="24B97631"/>
    <w:rsid w:val="24C90419"/>
    <w:rsid w:val="24D24D56"/>
    <w:rsid w:val="24E32289"/>
    <w:rsid w:val="24ED1C1E"/>
    <w:rsid w:val="24F0284D"/>
    <w:rsid w:val="24F039A5"/>
    <w:rsid w:val="24FF0939"/>
    <w:rsid w:val="2507275F"/>
    <w:rsid w:val="250E20E4"/>
    <w:rsid w:val="25202C91"/>
    <w:rsid w:val="252331A5"/>
    <w:rsid w:val="252733A0"/>
    <w:rsid w:val="253B3A36"/>
    <w:rsid w:val="25425A19"/>
    <w:rsid w:val="25490B3E"/>
    <w:rsid w:val="256F1A53"/>
    <w:rsid w:val="257D0110"/>
    <w:rsid w:val="258B2F2B"/>
    <w:rsid w:val="258B31A0"/>
    <w:rsid w:val="25AB3D1C"/>
    <w:rsid w:val="25AF40C3"/>
    <w:rsid w:val="25BD64D3"/>
    <w:rsid w:val="25CB7FC0"/>
    <w:rsid w:val="25D90A1B"/>
    <w:rsid w:val="25DC0129"/>
    <w:rsid w:val="25E22192"/>
    <w:rsid w:val="25F332FF"/>
    <w:rsid w:val="25FE37D6"/>
    <w:rsid w:val="26110B40"/>
    <w:rsid w:val="26274BB6"/>
    <w:rsid w:val="26356536"/>
    <w:rsid w:val="266853CB"/>
    <w:rsid w:val="266D329C"/>
    <w:rsid w:val="268B243A"/>
    <w:rsid w:val="269C627F"/>
    <w:rsid w:val="26AA20D3"/>
    <w:rsid w:val="26AA327D"/>
    <w:rsid w:val="26AA349C"/>
    <w:rsid w:val="26B43DCE"/>
    <w:rsid w:val="26C705B0"/>
    <w:rsid w:val="26CB5833"/>
    <w:rsid w:val="26D251BE"/>
    <w:rsid w:val="26DD3B73"/>
    <w:rsid w:val="26E444A5"/>
    <w:rsid w:val="26E576C7"/>
    <w:rsid w:val="26F04260"/>
    <w:rsid w:val="26F81EB4"/>
    <w:rsid w:val="26FB2F1B"/>
    <w:rsid w:val="272D45D3"/>
    <w:rsid w:val="27310A5B"/>
    <w:rsid w:val="27310B9A"/>
    <w:rsid w:val="273477E1"/>
    <w:rsid w:val="273E1C11"/>
    <w:rsid w:val="275265C3"/>
    <w:rsid w:val="276B112C"/>
    <w:rsid w:val="27815619"/>
    <w:rsid w:val="279E2679"/>
    <w:rsid w:val="279F554C"/>
    <w:rsid w:val="27A807C0"/>
    <w:rsid w:val="27C25618"/>
    <w:rsid w:val="27C91472"/>
    <w:rsid w:val="27D65541"/>
    <w:rsid w:val="27E50C24"/>
    <w:rsid w:val="27EC5FCE"/>
    <w:rsid w:val="28177BDE"/>
    <w:rsid w:val="28183270"/>
    <w:rsid w:val="281C0F13"/>
    <w:rsid w:val="285E7D99"/>
    <w:rsid w:val="286651CF"/>
    <w:rsid w:val="28671C46"/>
    <w:rsid w:val="28786555"/>
    <w:rsid w:val="2897657D"/>
    <w:rsid w:val="28AB19F4"/>
    <w:rsid w:val="28B018E3"/>
    <w:rsid w:val="28BD5FE3"/>
    <w:rsid w:val="28D71E0B"/>
    <w:rsid w:val="28DC39BE"/>
    <w:rsid w:val="28DD5BCB"/>
    <w:rsid w:val="28E01F8A"/>
    <w:rsid w:val="28F045AC"/>
    <w:rsid w:val="291B318A"/>
    <w:rsid w:val="291D583E"/>
    <w:rsid w:val="293723B4"/>
    <w:rsid w:val="29602BC4"/>
    <w:rsid w:val="299172C0"/>
    <w:rsid w:val="299629CF"/>
    <w:rsid w:val="299760C7"/>
    <w:rsid w:val="2999350D"/>
    <w:rsid w:val="299E7E78"/>
    <w:rsid w:val="29A604F9"/>
    <w:rsid w:val="29B759BC"/>
    <w:rsid w:val="29C00DB7"/>
    <w:rsid w:val="29D60A95"/>
    <w:rsid w:val="29D94FA1"/>
    <w:rsid w:val="29E31604"/>
    <w:rsid w:val="29F87E04"/>
    <w:rsid w:val="29F93602"/>
    <w:rsid w:val="2A1A7BC7"/>
    <w:rsid w:val="2A1E01A9"/>
    <w:rsid w:val="2A2D73EC"/>
    <w:rsid w:val="2A2E4CEB"/>
    <w:rsid w:val="2A3B565F"/>
    <w:rsid w:val="2A5D0C96"/>
    <w:rsid w:val="2A653259"/>
    <w:rsid w:val="2A8F4841"/>
    <w:rsid w:val="2AA270FE"/>
    <w:rsid w:val="2AA369DD"/>
    <w:rsid w:val="2AD06022"/>
    <w:rsid w:val="2AD63975"/>
    <w:rsid w:val="2ADD1B0D"/>
    <w:rsid w:val="2ADD72E3"/>
    <w:rsid w:val="2AEC47FC"/>
    <w:rsid w:val="2AF1331E"/>
    <w:rsid w:val="2AF81BE3"/>
    <w:rsid w:val="2AFF23A5"/>
    <w:rsid w:val="2B176F87"/>
    <w:rsid w:val="2B361003"/>
    <w:rsid w:val="2B3762A6"/>
    <w:rsid w:val="2B3C6641"/>
    <w:rsid w:val="2B4A27A4"/>
    <w:rsid w:val="2B5B0F6E"/>
    <w:rsid w:val="2B5D30B4"/>
    <w:rsid w:val="2B925FDF"/>
    <w:rsid w:val="2B9970F1"/>
    <w:rsid w:val="2BA95732"/>
    <w:rsid w:val="2BB74A47"/>
    <w:rsid w:val="2BE501C7"/>
    <w:rsid w:val="2BED2E55"/>
    <w:rsid w:val="2C1738CF"/>
    <w:rsid w:val="2C1945D8"/>
    <w:rsid w:val="2C4E7E38"/>
    <w:rsid w:val="2C5D6089"/>
    <w:rsid w:val="2C6C7918"/>
    <w:rsid w:val="2C783906"/>
    <w:rsid w:val="2C9E472D"/>
    <w:rsid w:val="2CB5787B"/>
    <w:rsid w:val="2CCA4381"/>
    <w:rsid w:val="2CD30F03"/>
    <w:rsid w:val="2CD66FAA"/>
    <w:rsid w:val="2CEA4162"/>
    <w:rsid w:val="2CF249BE"/>
    <w:rsid w:val="2CFC1554"/>
    <w:rsid w:val="2CFF3512"/>
    <w:rsid w:val="2D0333E4"/>
    <w:rsid w:val="2D0B7148"/>
    <w:rsid w:val="2D17770B"/>
    <w:rsid w:val="2D354DCA"/>
    <w:rsid w:val="2D3E7D46"/>
    <w:rsid w:val="2D6E6943"/>
    <w:rsid w:val="2D7E4AF7"/>
    <w:rsid w:val="2D841FB8"/>
    <w:rsid w:val="2D8519AC"/>
    <w:rsid w:val="2D87777E"/>
    <w:rsid w:val="2D8E349F"/>
    <w:rsid w:val="2D9469E6"/>
    <w:rsid w:val="2D9D7A77"/>
    <w:rsid w:val="2DAF78FF"/>
    <w:rsid w:val="2DD93F77"/>
    <w:rsid w:val="2DDC694B"/>
    <w:rsid w:val="2DDE7A41"/>
    <w:rsid w:val="2DEF20F0"/>
    <w:rsid w:val="2E041306"/>
    <w:rsid w:val="2E06778F"/>
    <w:rsid w:val="2E106E4C"/>
    <w:rsid w:val="2E151FA8"/>
    <w:rsid w:val="2E341724"/>
    <w:rsid w:val="2E4C211D"/>
    <w:rsid w:val="2E4D7F49"/>
    <w:rsid w:val="2E4E05E7"/>
    <w:rsid w:val="2E4E1129"/>
    <w:rsid w:val="2E5B5EA2"/>
    <w:rsid w:val="2E6446EB"/>
    <w:rsid w:val="2E6B07B8"/>
    <w:rsid w:val="2E7F0E61"/>
    <w:rsid w:val="2E7F686F"/>
    <w:rsid w:val="2E870765"/>
    <w:rsid w:val="2E8D0791"/>
    <w:rsid w:val="2E9B39A1"/>
    <w:rsid w:val="2EDD3F6F"/>
    <w:rsid w:val="2EDD77F3"/>
    <w:rsid w:val="2F047EE8"/>
    <w:rsid w:val="2F085C75"/>
    <w:rsid w:val="2F2B12A9"/>
    <w:rsid w:val="2F3C4BFB"/>
    <w:rsid w:val="2F471420"/>
    <w:rsid w:val="2F626907"/>
    <w:rsid w:val="2F6B4720"/>
    <w:rsid w:val="2F956224"/>
    <w:rsid w:val="2FA23A7C"/>
    <w:rsid w:val="2FA3052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C01078"/>
    <w:rsid w:val="30CF0FD9"/>
    <w:rsid w:val="30CF5A24"/>
    <w:rsid w:val="30E42C41"/>
    <w:rsid w:val="30F34FAE"/>
    <w:rsid w:val="3133127A"/>
    <w:rsid w:val="31353CD7"/>
    <w:rsid w:val="313E620E"/>
    <w:rsid w:val="313E6CDE"/>
    <w:rsid w:val="313F3759"/>
    <w:rsid w:val="31727F68"/>
    <w:rsid w:val="317662E9"/>
    <w:rsid w:val="31954796"/>
    <w:rsid w:val="31962DAE"/>
    <w:rsid w:val="319F0073"/>
    <w:rsid w:val="31B9498A"/>
    <w:rsid w:val="31BB30A3"/>
    <w:rsid w:val="31CE7B45"/>
    <w:rsid w:val="31DD48DC"/>
    <w:rsid w:val="31E60453"/>
    <w:rsid w:val="32044DED"/>
    <w:rsid w:val="320C562E"/>
    <w:rsid w:val="3215767E"/>
    <w:rsid w:val="322814D9"/>
    <w:rsid w:val="323B2B02"/>
    <w:rsid w:val="323F70E3"/>
    <w:rsid w:val="324B22D2"/>
    <w:rsid w:val="32575E9A"/>
    <w:rsid w:val="325C3AF5"/>
    <w:rsid w:val="3262622A"/>
    <w:rsid w:val="327A0FE8"/>
    <w:rsid w:val="329F684F"/>
    <w:rsid w:val="32B26B6D"/>
    <w:rsid w:val="32C92CF9"/>
    <w:rsid w:val="32CC0FF0"/>
    <w:rsid w:val="32D16B96"/>
    <w:rsid w:val="32DF7982"/>
    <w:rsid w:val="32E95D13"/>
    <w:rsid w:val="32F96ACA"/>
    <w:rsid w:val="330258B3"/>
    <w:rsid w:val="33054642"/>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607876"/>
    <w:rsid w:val="34841338"/>
    <w:rsid w:val="348B5095"/>
    <w:rsid w:val="349C31F7"/>
    <w:rsid w:val="34A12E66"/>
    <w:rsid w:val="34A54544"/>
    <w:rsid w:val="34AE0539"/>
    <w:rsid w:val="34B67588"/>
    <w:rsid w:val="34C63AB8"/>
    <w:rsid w:val="34CD5068"/>
    <w:rsid w:val="34CE2B5B"/>
    <w:rsid w:val="34D57664"/>
    <w:rsid w:val="34DD0D0C"/>
    <w:rsid w:val="34DF61CE"/>
    <w:rsid w:val="34E944F6"/>
    <w:rsid w:val="34E94AA0"/>
    <w:rsid w:val="34F06469"/>
    <w:rsid w:val="35042307"/>
    <w:rsid w:val="35072EAD"/>
    <w:rsid w:val="350960B1"/>
    <w:rsid w:val="35150114"/>
    <w:rsid w:val="352011B6"/>
    <w:rsid w:val="35217336"/>
    <w:rsid w:val="35290A77"/>
    <w:rsid w:val="352A0B4B"/>
    <w:rsid w:val="352F7D57"/>
    <w:rsid w:val="35356F10"/>
    <w:rsid w:val="354840CB"/>
    <w:rsid w:val="355C013C"/>
    <w:rsid w:val="3565420B"/>
    <w:rsid w:val="356A5BBA"/>
    <w:rsid w:val="356A601B"/>
    <w:rsid w:val="35825C91"/>
    <w:rsid w:val="3583595D"/>
    <w:rsid w:val="35841013"/>
    <w:rsid w:val="358B79C9"/>
    <w:rsid w:val="35934427"/>
    <w:rsid w:val="359A00B9"/>
    <w:rsid w:val="35C72C49"/>
    <w:rsid w:val="35F853BB"/>
    <w:rsid w:val="35FB1676"/>
    <w:rsid w:val="361526DE"/>
    <w:rsid w:val="36225127"/>
    <w:rsid w:val="36237E20"/>
    <w:rsid w:val="362551E1"/>
    <w:rsid w:val="36286678"/>
    <w:rsid w:val="363803C7"/>
    <w:rsid w:val="367620D2"/>
    <w:rsid w:val="3689139F"/>
    <w:rsid w:val="369608CE"/>
    <w:rsid w:val="369B2954"/>
    <w:rsid w:val="36A30297"/>
    <w:rsid w:val="36C1037B"/>
    <w:rsid w:val="36D067A6"/>
    <w:rsid w:val="36D347F2"/>
    <w:rsid w:val="36D4011D"/>
    <w:rsid w:val="36E865A3"/>
    <w:rsid w:val="36EC753C"/>
    <w:rsid w:val="37070D11"/>
    <w:rsid w:val="37201F64"/>
    <w:rsid w:val="373F53DD"/>
    <w:rsid w:val="374C04C6"/>
    <w:rsid w:val="375948AC"/>
    <w:rsid w:val="376B28D6"/>
    <w:rsid w:val="376C0D7B"/>
    <w:rsid w:val="376C5D00"/>
    <w:rsid w:val="376E276D"/>
    <w:rsid w:val="37A04E93"/>
    <w:rsid w:val="37D22ED3"/>
    <w:rsid w:val="37EA0A17"/>
    <w:rsid w:val="380A7603"/>
    <w:rsid w:val="380B0BB2"/>
    <w:rsid w:val="380D32F1"/>
    <w:rsid w:val="380D5D0D"/>
    <w:rsid w:val="382F2C1E"/>
    <w:rsid w:val="3871463E"/>
    <w:rsid w:val="38716CD9"/>
    <w:rsid w:val="38801C6C"/>
    <w:rsid w:val="38851608"/>
    <w:rsid w:val="389F2071"/>
    <w:rsid w:val="38A45712"/>
    <w:rsid w:val="38A47DD9"/>
    <w:rsid w:val="38B04451"/>
    <w:rsid w:val="38CC35B4"/>
    <w:rsid w:val="38D10166"/>
    <w:rsid w:val="39207FD2"/>
    <w:rsid w:val="392E645D"/>
    <w:rsid w:val="3933207C"/>
    <w:rsid w:val="39341BE2"/>
    <w:rsid w:val="393947EE"/>
    <w:rsid w:val="394B37F2"/>
    <w:rsid w:val="39532C2F"/>
    <w:rsid w:val="39756BD2"/>
    <w:rsid w:val="39985F30"/>
    <w:rsid w:val="39D3500A"/>
    <w:rsid w:val="39D620EE"/>
    <w:rsid w:val="39D96419"/>
    <w:rsid w:val="39E55169"/>
    <w:rsid w:val="39E84553"/>
    <w:rsid w:val="39F4018B"/>
    <w:rsid w:val="39F72E22"/>
    <w:rsid w:val="3A094E52"/>
    <w:rsid w:val="3A174971"/>
    <w:rsid w:val="3A273045"/>
    <w:rsid w:val="3A351385"/>
    <w:rsid w:val="3A3E4729"/>
    <w:rsid w:val="3A675D63"/>
    <w:rsid w:val="3A8C1EFF"/>
    <w:rsid w:val="3A9F7948"/>
    <w:rsid w:val="3AA02CE4"/>
    <w:rsid w:val="3AA628ED"/>
    <w:rsid w:val="3AAC6356"/>
    <w:rsid w:val="3AAF0D0B"/>
    <w:rsid w:val="3AB23C38"/>
    <w:rsid w:val="3AB704E3"/>
    <w:rsid w:val="3ABA4B72"/>
    <w:rsid w:val="3AC24451"/>
    <w:rsid w:val="3AC76FD5"/>
    <w:rsid w:val="3ACE1617"/>
    <w:rsid w:val="3AD31906"/>
    <w:rsid w:val="3AD8364A"/>
    <w:rsid w:val="3AD969F8"/>
    <w:rsid w:val="3AE960B8"/>
    <w:rsid w:val="3AFD1BC4"/>
    <w:rsid w:val="3B011CBF"/>
    <w:rsid w:val="3B0911E6"/>
    <w:rsid w:val="3B47510C"/>
    <w:rsid w:val="3B4C622A"/>
    <w:rsid w:val="3B5F7913"/>
    <w:rsid w:val="3B634927"/>
    <w:rsid w:val="3B7F36AC"/>
    <w:rsid w:val="3B822235"/>
    <w:rsid w:val="3B861D2E"/>
    <w:rsid w:val="3B937808"/>
    <w:rsid w:val="3BA65BED"/>
    <w:rsid w:val="3BAA1F2B"/>
    <w:rsid w:val="3BAA2896"/>
    <w:rsid w:val="3BC25680"/>
    <w:rsid w:val="3BD653F5"/>
    <w:rsid w:val="3BE16ECF"/>
    <w:rsid w:val="3BED0FCA"/>
    <w:rsid w:val="3BF14D67"/>
    <w:rsid w:val="3C211965"/>
    <w:rsid w:val="3C226C56"/>
    <w:rsid w:val="3C4B0ED5"/>
    <w:rsid w:val="3C6C2EB8"/>
    <w:rsid w:val="3CA91418"/>
    <w:rsid w:val="3CAD34C9"/>
    <w:rsid w:val="3CAE2FB6"/>
    <w:rsid w:val="3CBC1B56"/>
    <w:rsid w:val="3CBD75BF"/>
    <w:rsid w:val="3CC33BCC"/>
    <w:rsid w:val="3CD641A1"/>
    <w:rsid w:val="3CE10149"/>
    <w:rsid w:val="3CE2490A"/>
    <w:rsid w:val="3CEA648A"/>
    <w:rsid w:val="3D093637"/>
    <w:rsid w:val="3D1502D9"/>
    <w:rsid w:val="3D2D0EEC"/>
    <w:rsid w:val="3D30516B"/>
    <w:rsid w:val="3D390582"/>
    <w:rsid w:val="3D3F406A"/>
    <w:rsid w:val="3D555673"/>
    <w:rsid w:val="3D5657CC"/>
    <w:rsid w:val="3D5D2E26"/>
    <w:rsid w:val="3D876DDA"/>
    <w:rsid w:val="3D8C35CB"/>
    <w:rsid w:val="3D8E5ECA"/>
    <w:rsid w:val="3DA6750A"/>
    <w:rsid w:val="3DB21166"/>
    <w:rsid w:val="3DB52FFB"/>
    <w:rsid w:val="3DB932B8"/>
    <w:rsid w:val="3DCE5EF9"/>
    <w:rsid w:val="3DDF3C84"/>
    <w:rsid w:val="3DF17D30"/>
    <w:rsid w:val="3DF55B8D"/>
    <w:rsid w:val="3DF740D2"/>
    <w:rsid w:val="3E2942BE"/>
    <w:rsid w:val="3E300439"/>
    <w:rsid w:val="3E320B89"/>
    <w:rsid w:val="3E3906BC"/>
    <w:rsid w:val="3E462526"/>
    <w:rsid w:val="3E5648B2"/>
    <w:rsid w:val="3E5709F3"/>
    <w:rsid w:val="3E667CEF"/>
    <w:rsid w:val="3E684241"/>
    <w:rsid w:val="3E75521D"/>
    <w:rsid w:val="3E83245B"/>
    <w:rsid w:val="3E8412E9"/>
    <w:rsid w:val="3E9328AF"/>
    <w:rsid w:val="3EBC27E6"/>
    <w:rsid w:val="3EDC10D0"/>
    <w:rsid w:val="3EE10368"/>
    <w:rsid w:val="3EEE2BBE"/>
    <w:rsid w:val="3EF13BC7"/>
    <w:rsid w:val="3EF53D00"/>
    <w:rsid w:val="3EF94FFC"/>
    <w:rsid w:val="3F0C4369"/>
    <w:rsid w:val="3F2F53AA"/>
    <w:rsid w:val="3F41031D"/>
    <w:rsid w:val="3F493F5C"/>
    <w:rsid w:val="3F536673"/>
    <w:rsid w:val="3F5A79F3"/>
    <w:rsid w:val="3F5D2E4D"/>
    <w:rsid w:val="3F5F1F5C"/>
    <w:rsid w:val="3F6A5EE0"/>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8A75FC"/>
    <w:rsid w:val="40AA46A6"/>
    <w:rsid w:val="40B6211F"/>
    <w:rsid w:val="40C2573C"/>
    <w:rsid w:val="40D01BF9"/>
    <w:rsid w:val="40D34024"/>
    <w:rsid w:val="40D43BA0"/>
    <w:rsid w:val="40D62F6B"/>
    <w:rsid w:val="40E241CE"/>
    <w:rsid w:val="40EA78D7"/>
    <w:rsid w:val="40EC35D0"/>
    <w:rsid w:val="40EC510F"/>
    <w:rsid w:val="40EF5D43"/>
    <w:rsid w:val="40FD2E2B"/>
    <w:rsid w:val="412912D7"/>
    <w:rsid w:val="41366B89"/>
    <w:rsid w:val="413C5988"/>
    <w:rsid w:val="41643D6B"/>
    <w:rsid w:val="41771599"/>
    <w:rsid w:val="41824790"/>
    <w:rsid w:val="41875B96"/>
    <w:rsid w:val="418E52EE"/>
    <w:rsid w:val="41A04E11"/>
    <w:rsid w:val="41B76BF9"/>
    <w:rsid w:val="41DB0F0D"/>
    <w:rsid w:val="41F029FA"/>
    <w:rsid w:val="420558C2"/>
    <w:rsid w:val="42057B28"/>
    <w:rsid w:val="420874B4"/>
    <w:rsid w:val="421052B2"/>
    <w:rsid w:val="42190CC2"/>
    <w:rsid w:val="422F36E3"/>
    <w:rsid w:val="42407C97"/>
    <w:rsid w:val="42491125"/>
    <w:rsid w:val="427A44C2"/>
    <w:rsid w:val="42880654"/>
    <w:rsid w:val="428D14EF"/>
    <w:rsid w:val="4296187E"/>
    <w:rsid w:val="429B2F25"/>
    <w:rsid w:val="429B4AA7"/>
    <w:rsid w:val="42A65AF0"/>
    <w:rsid w:val="42AD56C6"/>
    <w:rsid w:val="42EF31B0"/>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1111D7"/>
    <w:rsid w:val="44220155"/>
    <w:rsid w:val="442D64E6"/>
    <w:rsid w:val="443B3A4C"/>
    <w:rsid w:val="444B0AC4"/>
    <w:rsid w:val="444C64B0"/>
    <w:rsid w:val="444D54BA"/>
    <w:rsid w:val="44742FDB"/>
    <w:rsid w:val="447636BF"/>
    <w:rsid w:val="44951997"/>
    <w:rsid w:val="449D508C"/>
    <w:rsid w:val="44B15AF7"/>
    <w:rsid w:val="44B36E39"/>
    <w:rsid w:val="44DC2E06"/>
    <w:rsid w:val="44EC7013"/>
    <w:rsid w:val="44F02519"/>
    <w:rsid w:val="44FB3AE3"/>
    <w:rsid w:val="44FD6D5B"/>
    <w:rsid w:val="44FF3C64"/>
    <w:rsid w:val="45061393"/>
    <w:rsid w:val="45427AA4"/>
    <w:rsid w:val="45515DC5"/>
    <w:rsid w:val="455454A2"/>
    <w:rsid w:val="45564CA5"/>
    <w:rsid w:val="455B6233"/>
    <w:rsid w:val="456A6A48"/>
    <w:rsid w:val="457C3D14"/>
    <w:rsid w:val="45865E2C"/>
    <w:rsid w:val="45911A43"/>
    <w:rsid w:val="45A16423"/>
    <w:rsid w:val="45A24E61"/>
    <w:rsid w:val="45A9067C"/>
    <w:rsid w:val="45B457B5"/>
    <w:rsid w:val="45C63F33"/>
    <w:rsid w:val="45C849A3"/>
    <w:rsid w:val="45DA1DB7"/>
    <w:rsid w:val="45DE2657"/>
    <w:rsid w:val="45E961FB"/>
    <w:rsid w:val="45F10EC5"/>
    <w:rsid w:val="460F4303"/>
    <w:rsid w:val="462E7E70"/>
    <w:rsid w:val="463144E8"/>
    <w:rsid w:val="46335004"/>
    <w:rsid w:val="46424079"/>
    <w:rsid w:val="466317E7"/>
    <w:rsid w:val="466360B5"/>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75BFF"/>
    <w:rsid w:val="47581629"/>
    <w:rsid w:val="476B7898"/>
    <w:rsid w:val="47700B34"/>
    <w:rsid w:val="477A6B40"/>
    <w:rsid w:val="478C55BE"/>
    <w:rsid w:val="47974276"/>
    <w:rsid w:val="479C078C"/>
    <w:rsid w:val="47B32E9C"/>
    <w:rsid w:val="47B922BA"/>
    <w:rsid w:val="47DE6C76"/>
    <w:rsid w:val="47ED7291"/>
    <w:rsid w:val="47F46C1C"/>
    <w:rsid w:val="48072039"/>
    <w:rsid w:val="480B19F6"/>
    <w:rsid w:val="480E7E09"/>
    <w:rsid w:val="481D675B"/>
    <w:rsid w:val="48212AE9"/>
    <w:rsid w:val="48281A14"/>
    <w:rsid w:val="484D05AF"/>
    <w:rsid w:val="486C1D5E"/>
    <w:rsid w:val="486C4CE7"/>
    <w:rsid w:val="487216E8"/>
    <w:rsid w:val="489713C3"/>
    <w:rsid w:val="48A262B1"/>
    <w:rsid w:val="48A61EC2"/>
    <w:rsid w:val="48B956E0"/>
    <w:rsid w:val="48BA3284"/>
    <w:rsid w:val="48CB1CC0"/>
    <w:rsid w:val="48CE326A"/>
    <w:rsid w:val="48E66D59"/>
    <w:rsid w:val="49013C23"/>
    <w:rsid w:val="490A52ED"/>
    <w:rsid w:val="490C3583"/>
    <w:rsid w:val="49163580"/>
    <w:rsid w:val="491E6E1E"/>
    <w:rsid w:val="491F7F64"/>
    <w:rsid w:val="492A1BD4"/>
    <w:rsid w:val="49582843"/>
    <w:rsid w:val="49733467"/>
    <w:rsid w:val="49A418F2"/>
    <w:rsid w:val="49AD5BED"/>
    <w:rsid w:val="49BE170B"/>
    <w:rsid w:val="49C8100A"/>
    <w:rsid w:val="49FD4166"/>
    <w:rsid w:val="49FF2037"/>
    <w:rsid w:val="4A0A7F62"/>
    <w:rsid w:val="4A1D00AC"/>
    <w:rsid w:val="4A270A04"/>
    <w:rsid w:val="4A36625B"/>
    <w:rsid w:val="4A414188"/>
    <w:rsid w:val="4A47591B"/>
    <w:rsid w:val="4A4C4C82"/>
    <w:rsid w:val="4A6F608D"/>
    <w:rsid w:val="4A767F31"/>
    <w:rsid w:val="4A885CE1"/>
    <w:rsid w:val="4A9452E5"/>
    <w:rsid w:val="4A9F2D3A"/>
    <w:rsid w:val="4ABA66FB"/>
    <w:rsid w:val="4ABE4F66"/>
    <w:rsid w:val="4ABF0894"/>
    <w:rsid w:val="4ACC37A5"/>
    <w:rsid w:val="4ADA0BDD"/>
    <w:rsid w:val="4ADB4E28"/>
    <w:rsid w:val="4ADC40E1"/>
    <w:rsid w:val="4ADF16B3"/>
    <w:rsid w:val="4AE414ED"/>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925402"/>
    <w:rsid w:val="4B9422CC"/>
    <w:rsid w:val="4BB31E0A"/>
    <w:rsid w:val="4BC60804"/>
    <w:rsid w:val="4BC74E08"/>
    <w:rsid w:val="4BCF4885"/>
    <w:rsid w:val="4BD07997"/>
    <w:rsid w:val="4BDF3E16"/>
    <w:rsid w:val="4BE1398E"/>
    <w:rsid w:val="4BF722AF"/>
    <w:rsid w:val="4BFD7A3B"/>
    <w:rsid w:val="4C1003D8"/>
    <w:rsid w:val="4C1705E5"/>
    <w:rsid w:val="4C203473"/>
    <w:rsid w:val="4C2F2351"/>
    <w:rsid w:val="4C352DA8"/>
    <w:rsid w:val="4C366477"/>
    <w:rsid w:val="4C381F65"/>
    <w:rsid w:val="4C6E6BF7"/>
    <w:rsid w:val="4C6F66E5"/>
    <w:rsid w:val="4C786851"/>
    <w:rsid w:val="4C942881"/>
    <w:rsid w:val="4CAF266F"/>
    <w:rsid w:val="4CB229E2"/>
    <w:rsid w:val="4CC13ECD"/>
    <w:rsid w:val="4CD020F9"/>
    <w:rsid w:val="4D0B17EF"/>
    <w:rsid w:val="4D0E4802"/>
    <w:rsid w:val="4D2F37DC"/>
    <w:rsid w:val="4D2F7723"/>
    <w:rsid w:val="4D406BD1"/>
    <w:rsid w:val="4D5047B5"/>
    <w:rsid w:val="4D576F61"/>
    <w:rsid w:val="4D605A45"/>
    <w:rsid w:val="4D76573F"/>
    <w:rsid w:val="4D7E6C33"/>
    <w:rsid w:val="4D831E51"/>
    <w:rsid w:val="4D942472"/>
    <w:rsid w:val="4DA44E4F"/>
    <w:rsid w:val="4DAA4C62"/>
    <w:rsid w:val="4DAD0C4C"/>
    <w:rsid w:val="4DAD5FAE"/>
    <w:rsid w:val="4DCE74AD"/>
    <w:rsid w:val="4DF521AC"/>
    <w:rsid w:val="4E0A2800"/>
    <w:rsid w:val="4E0D58C8"/>
    <w:rsid w:val="4E154828"/>
    <w:rsid w:val="4E222649"/>
    <w:rsid w:val="4E244D2D"/>
    <w:rsid w:val="4E5079C5"/>
    <w:rsid w:val="4E611424"/>
    <w:rsid w:val="4E623BD3"/>
    <w:rsid w:val="4E7906E7"/>
    <w:rsid w:val="4E837C45"/>
    <w:rsid w:val="4E993495"/>
    <w:rsid w:val="4EA30D9D"/>
    <w:rsid w:val="4EA31AE4"/>
    <w:rsid w:val="4EA57B2E"/>
    <w:rsid w:val="4EB2058C"/>
    <w:rsid w:val="4EB60C48"/>
    <w:rsid w:val="4EB93137"/>
    <w:rsid w:val="4EDE147E"/>
    <w:rsid w:val="4EEA3967"/>
    <w:rsid w:val="4EEF1B44"/>
    <w:rsid w:val="4F0A27C3"/>
    <w:rsid w:val="4F0F005F"/>
    <w:rsid w:val="4F165D52"/>
    <w:rsid w:val="4F190BD2"/>
    <w:rsid w:val="4F1D369F"/>
    <w:rsid w:val="4F213A90"/>
    <w:rsid w:val="4F290247"/>
    <w:rsid w:val="4F323CD2"/>
    <w:rsid w:val="4F332C0A"/>
    <w:rsid w:val="4F433DC8"/>
    <w:rsid w:val="4F4B51A5"/>
    <w:rsid w:val="4F545D86"/>
    <w:rsid w:val="4F896D46"/>
    <w:rsid w:val="4F974D24"/>
    <w:rsid w:val="4FA14EEC"/>
    <w:rsid w:val="4FA84227"/>
    <w:rsid w:val="4FC231DA"/>
    <w:rsid w:val="4FE223EE"/>
    <w:rsid w:val="4FE3097A"/>
    <w:rsid w:val="4FE44E23"/>
    <w:rsid w:val="4FFD3A77"/>
    <w:rsid w:val="4FFD60F8"/>
    <w:rsid w:val="501F548E"/>
    <w:rsid w:val="501F59A7"/>
    <w:rsid w:val="503642D7"/>
    <w:rsid w:val="503D3F59"/>
    <w:rsid w:val="504C7CCA"/>
    <w:rsid w:val="50650862"/>
    <w:rsid w:val="50681179"/>
    <w:rsid w:val="50812723"/>
    <w:rsid w:val="50864F3F"/>
    <w:rsid w:val="5095674A"/>
    <w:rsid w:val="50A01EE7"/>
    <w:rsid w:val="50A070FC"/>
    <w:rsid w:val="50A6221C"/>
    <w:rsid w:val="50AC4C20"/>
    <w:rsid w:val="50B61B8B"/>
    <w:rsid w:val="50C13C5F"/>
    <w:rsid w:val="50C16C1C"/>
    <w:rsid w:val="50C577D9"/>
    <w:rsid w:val="50DD17B8"/>
    <w:rsid w:val="50E00158"/>
    <w:rsid w:val="50E8434B"/>
    <w:rsid w:val="50F0291C"/>
    <w:rsid w:val="50F5073D"/>
    <w:rsid w:val="51183711"/>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9D3D17"/>
    <w:rsid w:val="52A26887"/>
    <w:rsid w:val="52BC72D9"/>
    <w:rsid w:val="52DB19FD"/>
    <w:rsid w:val="52EE339D"/>
    <w:rsid w:val="530174D7"/>
    <w:rsid w:val="5306292A"/>
    <w:rsid w:val="530822C8"/>
    <w:rsid w:val="530D1073"/>
    <w:rsid w:val="533E1E81"/>
    <w:rsid w:val="53445C3B"/>
    <w:rsid w:val="534B7333"/>
    <w:rsid w:val="534E2630"/>
    <w:rsid w:val="536F3F83"/>
    <w:rsid w:val="53703E8D"/>
    <w:rsid w:val="53707DDE"/>
    <w:rsid w:val="537E0058"/>
    <w:rsid w:val="53943296"/>
    <w:rsid w:val="53950AA6"/>
    <w:rsid w:val="53B2385F"/>
    <w:rsid w:val="53B434DF"/>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F77E0"/>
    <w:rsid w:val="54270E2A"/>
    <w:rsid w:val="543E515D"/>
    <w:rsid w:val="543F413B"/>
    <w:rsid w:val="5443534C"/>
    <w:rsid w:val="544B0D54"/>
    <w:rsid w:val="544F3B03"/>
    <w:rsid w:val="545114AC"/>
    <w:rsid w:val="54591CDE"/>
    <w:rsid w:val="545952F2"/>
    <w:rsid w:val="54625354"/>
    <w:rsid w:val="5469558C"/>
    <w:rsid w:val="54984A43"/>
    <w:rsid w:val="54B61E08"/>
    <w:rsid w:val="54C557E7"/>
    <w:rsid w:val="54C65EC0"/>
    <w:rsid w:val="54D43100"/>
    <w:rsid w:val="54EA78DC"/>
    <w:rsid w:val="54F80317"/>
    <w:rsid w:val="552760F6"/>
    <w:rsid w:val="552A09F4"/>
    <w:rsid w:val="5532296D"/>
    <w:rsid w:val="55452810"/>
    <w:rsid w:val="555154EE"/>
    <w:rsid w:val="557E1851"/>
    <w:rsid w:val="558F4A1E"/>
    <w:rsid w:val="55942252"/>
    <w:rsid w:val="55987FBD"/>
    <w:rsid w:val="55A57512"/>
    <w:rsid w:val="55B41C64"/>
    <w:rsid w:val="55E34DF9"/>
    <w:rsid w:val="55EC2897"/>
    <w:rsid w:val="55F0187C"/>
    <w:rsid w:val="55FA242D"/>
    <w:rsid w:val="55FD3626"/>
    <w:rsid w:val="5630640C"/>
    <w:rsid w:val="564B32E4"/>
    <w:rsid w:val="5652511E"/>
    <w:rsid w:val="5652573E"/>
    <w:rsid w:val="56543A0D"/>
    <w:rsid w:val="5658232F"/>
    <w:rsid w:val="56686EA1"/>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1E12FD"/>
    <w:rsid w:val="573434A1"/>
    <w:rsid w:val="57484C26"/>
    <w:rsid w:val="5758628A"/>
    <w:rsid w:val="57745BB6"/>
    <w:rsid w:val="57782C90"/>
    <w:rsid w:val="57855787"/>
    <w:rsid w:val="578A1BF3"/>
    <w:rsid w:val="57B02739"/>
    <w:rsid w:val="57B439EF"/>
    <w:rsid w:val="57BD6C04"/>
    <w:rsid w:val="57C03085"/>
    <w:rsid w:val="57C51573"/>
    <w:rsid w:val="57D6036B"/>
    <w:rsid w:val="57DE28CC"/>
    <w:rsid w:val="57DF44D7"/>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8DE5B5B"/>
    <w:rsid w:val="58EC6F6F"/>
    <w:rsid w:val="590157F8"/>
    <w:rsid w:val="590D2328"/>
    <w:rsid w:val="590F51DD"/>
    <w:rsid w:val="591E2294"/>
    <w:rsid w:val="59232C0B"/>
    <w:rsid w:val="593A62F9"/>
    <w:rsid w:val="594B4FD2"/>
    <w:rsid w:val="594D06B7"/>
    <w:rsid w:val="598A5B73"/>
    <w:rsid w:val="598D03EC"/>
    <w:rsid w:val="598D6E21"/>
    <w:rsid w:val="598D7696"/>
    <w:rsid w:val="599C0038"/>
    <w:rsid w:val="599F6487"/>
    <w:rsid w:val="59B377F3"/>
    <w:rsid w:val="59B6573E"/>
    <w:rsid w:val="59C43D4D"/>
    <w:rsid w:val="59C83A39"/>
    <w:rsid w:val="59FB18DA"/>
    <w:rsid w:val="5A160FDB"/>
    <w:rsid w:val="5A261DCD"/>
    <w:rsid w:val="5A361544"/>
    <w:rsid w:val="5A3F108A"/>
    <w:rsid w:val="5A5B363C"/>
    <w:rsid w:val="5A6D76C0"/>
    <w:rsid w:val="5A723A0D"/>
    <w:rsid w:val="5A762255"/>
    <w:rsid w:val="5A780FA5"/>
    <w:rsid w:val="5A7D1AF2"/>
    <w:rsid w:val="5A833B0D"/>
    <w:rsid w:val="5A9D621A"/>
    <w:rsid w:val="5AB17106"/>
    <w:rsid w:val="5AC219D6"/>
    <w:rsid w:val="5AC94301"/>
    <w:rsid w:val="5ACF40CD"/>
    <w:rsid w:val="5AE67733"/>
    <w:rsid w:val="5AFD3B96"/>
    <w:rsid w:val="5B0C640C"/>
    <w:rsid w:val="5B170C5D"/>
    <w:rsid w:val="5B2D305D"/>
    <w:rsid w:val="5B443E9C"/>
    <w:rsid w:val="5B4C1057"/>
    <w:rsid w:val="5B53327E"/>
    <w:rsid w:val="5B707739"/>
    <w:rsid w:val="5B7D7957"/>
    <w:rsid w:val="5B830BC2"/>
    <w:rsid w:val="5B956906"/>
    <w:rsid w:val="5B987E52"/>
    <w:rsid w:val="5BCE4EA4"/>
    <w:rsid w:val="5BD209C4"/>
    <w:rsid w:val="5BD637EC"/>
    <w:rsid w:val="5BDE5A43"/>
    <w:rsid w:val="5BE0323A"/>
    <w:rsid w:val="5C126F83"/>
    <w:rsid w:val="5C1A362B"/>
    <w:rsid w:val="5C1B7F5F"/>
    <w:rsid w:val="5C34166A"/>
    <w:rsid w:val="5C4A36B7"/>
    <w:rsid w:val="5C4E44D4"/>
    <w:rsid w:val="5C5552A6"/>
    <w:rsid w:val="5C7F58F3"/>
    <w:rsid w:val="5C80234E"/>
    <w:rsid w:val="5C893CEC"/>
    <w:rsid w:val="5CC83DC7"/>
    <w:rsid w:val="5CD7479C"/>
    <w:rsid w:val="5CE536CF"/>
    <w:rsid w:val="5CE568F8"/>
    <w:rsid w:val="5CF33064"/>
    <w:rsid w:val="5D013D09"/>
    <w:rsid w:val="5D0576C4"/>
    <w:rsid w:val="5D093166"/>
    <w:rsid w:val="5D203E5D"/>
    <w:rsid w:val="5D230368"/>
    <w:rsid w:val="5D255730"/>
    <w:rsid w:val="5D424AC5"/>
    <w:rsid w:val="5D5667E0"/>
    <w:rsid w:val="5D580881"/>
    <w:rsid w:val="5D60523F"/>
    <w:rsid w:val="5D6261CB"/>
    <w:rsid w:val="5DA13534"/>
    <w:rsid w:val="5DC9382F"/>
    <w:rsid w:val="5DCB56EC"/>
    <w:rsid w:val="5DD14279"/>
    <w:rsid w:val="5DE448D2"/>
    <w:rsid w:val="5DF441FF"/>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32B64"/>
    <w:rsid w:val="5EA97C8F"/>
    <w:rsid w:val="5EDC5A30"/>
    <w:rsid w:val="5EE11EB8"/>
    <w:rsid w:val="5F0936DE"/>
    <w:rsid w:val="5F171517"/>
    <w:rsid w:val="5F250070"/>
    <w:rsid w:val="5F5B6A83"/>
    <w:rsid w:val="5F62295E"/>
    <w:rsid w:val="5F7B20B7"/>
    <w:rsid w:val="5F7D16C2"/>
    <w:rsid w:val="5F892553"/>
    <w:rsid w:val="5FA55479"/>
    <w:rsid w:val="5FAB77AE"/>
    <w:rsid w:val="5FB301BB"/>
    <w:rsid w:val="5FFA6139"/>
    <w:rsid w:val="5FFB5E88"/>
    <w:rsid w:val="600A6271"/>
    <w:rsid w:val="60357E4D"/>
    <w:rsid w:val="603A5C1E"/>
    <w:rsid w:val="6046706E"/>
    <w:rsid w:val="60492B3E"/>
    <w:rsid w:val="60565E64"/>
    <w:rsid w:val="605E55CF"/>
    <w:rsid w:val="60747DCE"/>
    <w:rsid w:val="6089047C"/>
    <w:rsid w:val="608D4CE3"/>
    <w:rsid w:val="60A859A2"/>
    <w:rsid w:val="60AB29AA"/>
    <w:rsid w:val="60AC67BD"/>
    <w:rsid w:val="60AE372D"/>
    <w:rsid w:val="60C06489"/>
    <w:rsid w:val="60CE2A0E"/>
    <w:rsid w:val="61204933"/>
    <w:rsid w:val="612354B4"/>
    <w:rsid w:val="61351A56"/>
    <w:rsid w:val="613F62A8"/>
    <w:rsid w:val="61415F87"/>
    <w:rsid w:val="61502F36"/>
    <w:rsid w:val="61526439"/>
    <w:rsid w:val="61561800"/>
    <w:rsid w:val="615A223E"/>
    <w:rsid w:val="615A4676"/>
    <w:rsid w:val="615B47A6"/>
    <w:rsid w:val="616435A6"/>
    <w:rsid w:val="619940E6"/>
    <w:rsid w:val="61A6014E"/>
    <w:rsid w:val="61B3236A"/>
    <w:rsid w:val="61D415F5"/>
    <w:rsid w:val="61D63921"/>
    <w:rsid w:val="61DB724C"/>
    <w:rsid w:val="61EE1B3B"/>
    <w:rsid w:val="61F439C5"/>
    <w:rsid w:val="61F443E9"/>
    <w:rsid w:val="62086520"/>
    <w:rsid w:val="62161F3E"/>
    <w:rsid w:val="62213533"/>
    <w:rsid w:val="62241E8B"/>
    <w:rsid w:val="62270D05"/>
    <w:rsid w:val="62297BF9"/>
    <w:rsid w:val="62461BF2"/>
    <w:rsid w:val="624F5302"/>
    <w:rsid w:val="62607426"/>
    <w:rsid w:val="626C2AFF"/>
    <w:rsid w:val="62762D19"/>
    <w:rsid w:val="62865532"/>
    <w:rsid w:val="62867444"/>
    <w:rsid w:val="629D7EE8"/>
    <w:rsid w:val="62A734E8"/>
    <w:rsid w:val="62AE7A21"/>
    <w:rsid w:val="62C73A65"/>
    <w:rsid w:val="62C7491F"/>
    <w:rsid w:val="62C906B0"/>
    <w:rsid w:val="62CD0ED6"/>
    <w:rsid w:val="62D50998"/>
    <w:rsid w:val="62D8753A"/>
    <w:rsid w:val="62E7507D"/>
    <w:rsid w:val="62F67597"/>
    <w:rsid w:val="630C34D0"/>
    <w:rsid w:val="631E48B7"/>
    <w:rsid w:val="6322080B"/>
    <w:rsid w:val="634F7179"/>
    <w:rsid w:val="635F6BBD"/>
    <w:rsid w:val="63785DBF"/>
    <w:rsid w:val="638F7AFC"/>
    <w:rsid w:val="639215D8"/>
    <w:rsid w:val="63A36BE5"/>
    <w:rsid w:val="63C04B8A"/>
    <w:rsid w:val="63D42229"/>
    <w:rsid w:val="63D8474D"/>
    <w:rsid w:val="63DB746A"/>
    <w:rsid w:val="63E5033D"/>
    <w:rsid w:val="63EC46A4"/>
    <w:rsid w:val="63EE162B"/>
    <w:rsid w:val="63F4318A"/>
    <w:rsid w:val="63F75B8A"/>
    <w:rsid w:val="640310C7"/>
    <w:rsid w:val="64155C8D"/>
    <w:rsid w:val="641B0760"/>
    <w:rsid w:val="641E1DE4"/>
    <w:rsid w:val="64203CB4"/>
    <w:rsid w:val="64222857"/>
    <w:rsid w:val="642C6B67"/>
    <w:rsid w:val="64335EB1"/>
    <w:rsid w:val="64433CD0"/>
    <w:rsid w:val="64495F72"/>
    <w:rsid w:val="644B25BC"/>
    <w:rsid w:val="647F6D16"/>
    <w:rsid w:val="6498217B"/>
    <w:rsid w:val="64987FF4"/>
    <w:rsid w:val="64CF10CC"/>
    <w:rsid w:val="64D0513C"/>
    <w:rsid w:val="64D320D2"/>
    <w:rsid w:val="64DE698B"/>
    <w:rsid w:val="64E1370A"/>
    <w:rsid w:val="64EB1866"/>
    <w:rsid w:val="64F702F2"/>
    <w:rsid w:val="651424EE"/>
    <w:rsid w:val="65257BC1"/>
    <w:rsid w:val="65287A29"/>
    <w:rsid w:val="653F56B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9058AB"/>
    <w:rsid w:val="66943E18"/>
    <w:rsid w:val="6699652A"/>
    <w:rsid w:val="66A562F6"/>
    <w:rsid w:val="66A93110"/>
    <w:rsid w:val="66AC664F"/>
    <w:rsid w:val="66AF2B2C"/>
    <w:rsid w:val="66C83F2C"/>
    <w:rsid w:val="66EB1F18"/>
    <w:rsid w:val="66F0190D"/>
    <w:rsid w:val="67064E16"/>
    <w:rsid w:val="672833FF"/>
    <w:rsid w:val="672B1470"/>
    <w:rsid w:val="67392F67"/>
    <w:rsid w:val="67447CAA"/>
    <w:rsid w:val="674B72E6"/>
    <w:rsid w:val="67603184"/>
    <w:rsid w:val="676569B0"/>
    <w:rsid w:val="67662B31"/>
    <w:rsid w:val="676E53AF"/>
    <w:rsid w:val="6772565E"/>
    <w:rsid w:val="677C3451"/>
    <w:rsid w:val="679C72E6"/>
    <w:rsid w:val="679C7788"/>
    <w:rsid w:val="679D7D9D"/>
    <w:rsid w:val="67A16316"/>
    <w:rsid w:val="67B52945"/>
    <w:rsid w:val="67B84A87"/>
    <w:rsid w:val="67D5396B"/>
    <w:rsid w:val="67E24A58"/>
    <w:rsid w:val="67E967D4"/>
    <w:rsid w:val="67EA1DE2"/>
    <w:rsid w:val="67F51F5D"/>
    <w:rsid w:val="67FB68A8"/>
    <w:rsid w:val="681C0F9C"/>
    <w:rsid w:val="68280A59"/>
    <w:rsid w:val="682E6A6C"/>
    <w:rsid w:val="6844471E"/>
    <w:rsid w:val="68446C9C"/>
    <w:rsid w:val="685448E5"/>
    <w:rsid w:val="68567ADB"/>
    <w:rsid w:val="685A52F7"/>
    <w:rsid w:val="686301D2"/>
    <w:rsid w:val="686F32ED"/>
    <w:rsid w:val="68763CFB"/>
    <w:rsid w:val="68775B46"/>
    <w:rsid w:val="68AB1911"/>
    <w:rsid w:val="68AC7864"/>
    <w:rsid w:val="68BD141F"/>
    <w:rsid w:val="68C2312F"/>
    <w:rsid w:val="68CC74D0"/>
    <w:rsid w:val="68DD058C"/>
    <w:rsid w:val="68E0459C"/>
    <w:rsid w:val="68E84B74"/>
    <w:rsid w:val="690300E6"/>
    <w:rsid w:val="690C1F68"/>
    <w:rsid w:val="691F004A"/>
    <w:rsid w:val="69210AA2"/>
    <w:rsid w:val="692563EE"/>
    <w:rsid w:val="692D6BB4"/>
    <w:rsid w:val="69456602"/>
    <w:rsid w:val="6965727E"/>
    <w:rsid w:val="696E0D08"/>
    <w:rsid w:val="69785369"/>
    <w:rsid w:val="69C62E9A"/>
    <w:rsid w:val="69D9569F"/>
    <w:rsid w:val="69EC201D"/>
    <w:rsid w:val="69F076EC"/>
    <w:rsid w:val="6A0C4C59"/>
    <w:rsid w:val="6A0C7811"/>
    <w:rsid w:val="6A0E77F1"/>
    <w:rsid w:val="6A3001E9"/>
    <w:rsid w:val="6A3E5B5D"/>
    <w:rsid w:val="6A4771FB"/>
    <w:rsid w:val="6A55161C"/>
    <w:rsid w:val="6A572BE8"/>
    <w:rsid w:val="6A65568E"/>
    <w:rsid w:val="6A6A6D65"/>
    <w:rsid w:val="6A8213EE"/>
    <w:rsid w:val="6A9553FE"/>
    <w:rsid w:val="6A9F48FD"/>
    <w:rsid w:val="6AC02AEF"/>
    <w:rsid w:val="6AC07030"/>
    <w:rsid w:val="6AC30E38"/>
    <w:rsid w:val="6AD0268E"/>
    <w:rsid w:val="6ADB66AC"/>
    <w:rsid w:val="6ADD74FD"/>
    <w:rsid w:val="6AF15601"/>
    <w:rsid w:val="6B21034E"/>
    <w:rsid w:val="6B3816B9"/>
    <w:rsid w:val="6B457289"/>
    <w:rsid w:val="6B570F9E"/>
    <w:rsid w:val="6B613AB3"/>
    <w:rsid w:val="6B704D44"/>
    <w:rsid w:val="6B7A4A17"/>
    <w:rsid w:val="6B7F1BF6"/>
    <w:rsid w:val="6B9512FD"/>
    <w:rsid w:val="6B9D0F9D"/>
    <w:rsid w:val="6BB554FE"/>
    <w:rsid w:val="6BB87BB7"/>
    <w:rsid w:val="6BC12EDC"/>
    <w:rsid w:val="6BC930E6"/>
    <w:rsid w:val="6BCB65E9"/>
    <w:rsid w:val="6BDB3000"/>
    <w:rsid w:val="6BE255D8"/>
    <w:rsid w:val="6BE76A97"/>
    <w:rsid w:val="6BF056A3"/>
    <w:rsid w:val="6BF43FAF"/>
    <w:rsid w:val="6BFB78C8"/>
    <w:rsid w:val="6C1363EA"/>
    <w:rsid w:val="6C1F175D"/>
    <w:rsid w:val="6C236C77"/>
    <w:rsid w:val="6C3B602B"/>
    <w:rsid w:val="6C3E480C"/>
    <w:rsid w:val="6C4A348A"/>
    <w:rsid w:val="6C4A4478"/>
    <w:rsid w:val="6C5002D5"/>
    <w:rsid w:val="6C69343B"/>
    <w:rsid w:val="6C6973EC"/>
    <w:rsid w:val="6C737CFB"/>
    <w:rsid w:val="6C777224"/>
    <w:rsid w:val="6C83219C"/>
    <w:rsid w:val="6C833B41"/>
    <w:rsid w:val="6C9803A4"/>
    <w:rsid w:val="6C9A7BBB"/>
    <w:rsid w:val="6CA405A4"/>
    <w:rsid w:val="6CD323B8"/>
    <w:rsid w:val="6CF33107"/>
    <w:rsid w:val="6CFA6AAC"/>
    <w:rsid w:val="6D243939"/>
    <w:rsid w:val="6D2F5EB0"/>
    <w:rsid w:val="6D3125B4"/>
    <w:rsid w:val="6D447778"/>
    <w:rsid w:val="6D4A5F2F"/>
    <w:rsid w:val="6D5F7732"/>
    <w:rsid w:val="6D620170"/>
    <w:rsid w:val="6D777E6B"/>
    <w:rsid w:val="6D817056"/>
    <w:rsid w:val="6D84645E"/>
    <w:rsid w:val="6D8F437E"/>
    <w:rsid w:val="6D990245"/>
    <w:rsid w:val="6D997573"/>
    <w:rsid w:val="6DA026C8"/>
    <w:rsid w:val="6DAC5479"/>
    <w:rsid w:val="6DB46943"/>
    <w:rsid w:val="6DC62455"/>
    <w:rsid w:val="6DE4394A"/>
    <w:rsid w:val="6DED7696"/>
    <w:rsid w:val="6E035FBA"/>
    <w:rsid w:val="6E123F60"/>
    <w:rsid w:val="6E2E7FD1"/>
    <w:rsid w:val="6E4730F9"/>
    <w:rsid w:val="6E5231A4"/>
    <w:rsid w:val="6E5A40EE"/>
    <w:rsid w:val="6E671D27"/>
    <w:rsid w:val="6E78772A"/>
    <w:rsid w:val="6E7D48F4"/>
    <w:rsid w:val="6E842069"/>
    <w:rsid w:val="6E9C16AF"/>
    <w:rsid w:val="6E9D390D"/>
    <w:rsid w:val="6EAC20D1"/>
    <w:rsid w:val="6EC5724B"/>
    <w:rsid w:val="6EE10B05"/>
    <w:rsid w:val="6F0472BB"/>
    <w:rsid w:val="6F1B6955"/>
    <w:rsid w:val="6F206808"/>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E54985"/>
    <w:rsid w:val="6FEC7554"/>
    <w:rsid w:val="6FF1283A"/>
    <w:rsid w:val="700D5DEC"/>
    <w:rsid w:val="70563262"/>
    <w:rsid w:val="705873A3"/>
    <w:rsid w:val="708B5462"/>
    <w:rsid w:val="709910D5"/>
    <w:rsid w:val="709C35CE"/>
    <w:rsid w:val="70B26D33"/>
    <w:rsid w:val="70B54946"/>
    <w:rsid w:val="70D216D3"/>
    <w:rsid w:val="70D9122B"/>
    <w:rsid w:val="71013AC4"/>
    <w:rsid w:val="71306040"/>
    <w:rsid w:val="71367F49"/>
    <w:rsid w:val="71534AAE"/>
    <w:rsid w:val="71613AEC"/>
    <w:rsid w:val="716C54B9"/>
    <w:rsid w:val="716F4C2B"/>
    <w:rsid w:val="717C638C"/>
    <w:rsid w:val="71896C8F"/>
    <w:rsid w:val="719B216D"/>
    <w:rsid w:val="71A175F8"/>
    <w:rsid w:val="71B752EE"/>
    <w:rsid w:val="71C66F16"/>
    <w:rsid w:val="71D71580"/>
    <w:rsid w:val="71DB12A7"/>
    <w:rsid w:val="71E40223"/>
    <w:rsid w:val="72106F1F"/>
    <w:rsid w:val="722D57C7"/>
    <w:rsid w:val="723423C2"/>
    <w:rsid w:val="724062B5"/>
    <w:rsid w:val="724A0704"/>
    <w:rsid w:val="724F46F0"/>
    <w:rsid w:val="7255143F"/>
    <w:rsid w:val="726436E6"/>
    <w:rsid w:val="72683B3E"/>
    <w:rsid w:val="72700C83"/>
    <w:rsid w:val="727E6483"/>
    <w:rsid w:val="72812BAD"/>
    <w:rsid w:val="72843406"/>
    <w:rsid w:val="728453D5"/>
    <w:rsid w:val="72935827"/>
    <w:rsid w:val="729B79DD"/>
    <w:rsid w:val="72AC0DAF"/>
    <w:rsid w:val="72BB1BA7"/>
    <w:rsid w:val="72C773DB"/>
    <w:rsid w:val="72D051AC"/>
    <w:rsid w:val="72D05F60"/>
    <w:rsid w:val="72EB3D62"/>
    <w:rsid w:val="72ED426C"/>
    <w:rsid w:val="72F91A90"/>
    <w:rsid w:val="730E55D1"/>
    <w:rsid w:val="731C314C"/>
    <w:rsid w:val="73237AF4"/>
    <w:rsid w:val="732927A3"/>
    <w:rsid w:val="73353DC9"/>
    <w:rsid w:val="733B04FD"/>
    <w:rsid w:val="734333B2"/>
    <w:rsid w:val="73666CF1"/>
    <w:rsid w:val="7383558F"/>
    <w:rsid w:val="738A0463"/>
    <w:rsid w:val="738B5FB1"/>
    <w:rsid w:val="73B02110"/>
    <w:rsid w:val="73CE0E30"/>
    <w:rsid w:val="73D47918"/>
    <w:rsid w:val="73F95D4E"/>
    <w:rsid w:val="74044161"/>
    <w:rsid w:val="74194164"/>
    <w:rsid w:val="741C0ACA"/>
    <w:rsid w:val="742B0327"/>
    <w:rsid w:val="742D6B25"/>
    <w:rsid w:val="744446C4"/>
    <w:rsid w:val="74524A6C"/>
    <w:rsid w:val="745D46B6"/>
    <w:rsid w:val="745D6577"/>
    <w:rsid w:val="74674908"/>
    <w:rsid w:val="747E2170"/>
    <w:rsid w:val="747E452E"/>
    <w:rsid w:val="74994FF2"/>
    <w:rsid w:val="74A93ADB"/>
    <w:rsid w:val="74AB764B"/>
    <w:rsid w:val="74B86703"/>
    <w:rsid w:val="74BA0C6B"/>
    <w:rsid w:val="74BB501E"/>
    <w:rsid w:val="74EE31EA"/>
    <w:rsid w:val="74F039E8"/>
    <w:rsid w:val="74FA2880"/>
    <w:rsid w:val="75101C40"/>
    <w:rsid w:val="75225CBF"/>
    <w:rsid w:val="75350693"/>
    <w:rsid w:val="753B48E1"/>
    <w:rsid w:val="7546677D"/>
    <w:rsid w:val="754B2AC0"/>
    <w:rsid w:val="754D466C"/>
    <w:rsid w:val="754F4CC4"/>
    <w:rsid w:val="7554600D"/>
    <w:rsid w:val="756E0B0A"/>
    <w:rsid w:val="756F18B8"/>
    <w:rsid w:val="757031D9"/>
    <w:rsid w:val="75806983"/>
    <w:rsid w:val="75814167"/>
    <w:rsid w:val="75842DFC"/>
    <w:rsid w:val="758E0290"/>
    <w:rsid w:val="75A667A1"/>
    <w:rsid w:val="75B9416A"/>
    <w:rsid w:val="75BE0722"/>
    <w:rsid w:val="75C247F2"/>
    <w:rsid w:val="75CC7278"/>
    <w:rsid w:val="75CD7BB5"/>
    <w:rsid w:val="75D052C2"/>
    <w:rsid w:val="75D833A4"/>
    <w:rsid w:val="75F1698E"/>
    <w:rsid w:val="7616334A"/>
    <w:rsid w:val="762C54EE"/>
    <w:rsid w:val="76437D02"/>
    <w:rsid w:val="76442B95"/>
    <w:rsid w:val="765120A6"/>
    <w:rsid w:val="766E5B8F"/>
    <w:rsid w:val="767F05D4"/>
    <w:rsid w:val="76A15865"/>
    <w:rsid w:val="76A57736"/>
    <w:rsid w:val="76BF7D3D"/>
    <w:rsid w:val="76C52AEB"/>
    <w:rsid w:val="76D264D4"/>
    <w:rsid w:val="76D66A80"/>
    <w:rsid w:val="76E13C82"/>
    <w:rsid w:val="76E955C3"/>
    <w:rsid w:val="76FD43AC"/>
    <w:rsid w:val="77123ACC"/>
    <w:rsid w:val="77247924"/>
    <w:rsid w:val="772B1B20"/>
    <w:rsid w:val="77510935"/>
    <w:rsid w:val="77533C64"/>
    <w:rsid w:val="77634F3B"/>
    <w:rsid w:val="77691105"/>
    <w:rsid w:val="778A3EDB"/>
    <w:rsid w:val="778E76B4"/>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307089"/>
    <w:rsid w:val="79373219"/>
    <w:rsid w:val="794A4288"/>
    <w:rsid w:val="794C7980"/>
    <w:rsid w:val="7954036F"/>
    <w:rsid w:val="7963139E"/>
    <w:rsid w:val="796A36B4"/>
    <w:rsid w:val="796F2A8D"/>
    <w:rsid w:val="797A39DC"/>
    <w:rsid w:val="798B23A6"/>
    <w:rsid w:val="79A04DFD"/>
    <w:rsid w:val="79A50707"/>
    <w:rsid w:val="79A86542"/>
    <w:rsid w:val="79B4314E"/>
    <w:rsid w:val="79BE5E62"/>
    <w:rsid w:val="79D00261"/>
    <w:rsid w:val="79D72059"/>
    <w:rsid w:val="79D917F7"/>
    <w:rsid w:val="79E34D47"/>
    <w:rsid w:val="79EC33C3"/>
    <w:rsid w:val="7A195421"/>
    <w:rsid w:val="7A1C1793"/>
    <w:rsid w:val="7A1C4DC7"/>
    <w:rsid w:val="7A3A078E"/>
    <w:rsid w:val="7A3E119B"/>
    <w:rsid w:val="7A417F22"/>
    <w:rsid w:val="7A45124E"/>
    <w:rsid w:val="7A4928E9"/>
    <w:rsid w:val="7A4C7BCA"/>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E16AA"/>
    <w:rsid w:val="7B5204F9"/>
    <w:rsid w:val="7B612D94"/>
    <w:rsid w:val="7B69538B"/>
    <w:rsid w:val="7B6E3852"/>
    <w:rsid w:val="7B745405"/>
    <w:rsid w:val="7B7E5E0A"/>
    <w:rsid w:val="7B89373C"/>
    <w:rsid w:val="7B8B54F1"/>
    <w:rsid w:val="7BCD7043"/>
    <w:rsid w:val="7BDA2B39"/>
    <w:rsid w:val="7BE114B4"/>
    <w:rsid w:val="7C0A4F8F"/>
    <w:rsid w:val="7C274E7E"/>
    <w:rsid w:val="7C280E42"/>
    <w:rsid w:val="7C4A7F77"/>
    <w:rsid w:val="7C7F4F3C"/>
    <w:rsid w:val="7C9C55B4"/>
    <w:rsid w:val="7CA544A2"/>
    <w:rsid w:val="7CA91615"/>
    <w:rsid w:val="7CB347D7"/>
    <w:rsid w:val="7CBB76D8"/>
    <w:rsid w:val="7CCD67D7"/>
    <w:rsid w:val="7CDB518C"/>
    <w:rsid w:val="7CE21673"/>
    <w:rsid w:val="7CE2570E"/>
    <w:rsid w:val="7CF45745"/>
    <w:rsid w:val="7D0E3538"/>
    <w:rsid w:val="7D4033FD"/>
    <w:rsid w:val="7D4D5856"/>
    <w:rsid w:val="7D537A55"/>
    <w:rsid w:val="7D737A9C"/>
    <w:rsid w:val="7D8234F7"/>
    <w:rsid w:val="7D96147A"/>
    <w:rsid w:val="7DAA16F6"/>
    <w:rsid w:val="7DAC36B6"/>
    <w:rsid w:val="7DB24046"/>
    <w:rsid w:val="7DCA2855"/>
    <w:rsid w:val="7DE14EF9"/>
    <w:rsid w:val="7DEF3EAB"/>
    <w:rsid w:val="7E183EEA"/>
    <w:rsid w:val="7E245663"/>
    <w:rsid w:val="7E440B2B"/>
    <w:rsid w:val="7E4A22B2"/>
    <w:rsid w:val="7E4F61B6"/>
    <w:rsid w:val="7E5022F4"/>
    <w:rsid w:val="7E6752B6"/>
    <w:rsid w:val="7E717A7B"/>
    <w:rsid w:val="7E720C01"/>
    <w:rsid w:val="7E80292D"/>
    <w:rsid w:val="7E84382C"/>
    <w:rsid w:val="7E855AE7"/>
    <w:rsid w:val="7E9D718F"/>
    <w:rsid w:val="7EA55E80"/>
    <w:rsid w:val="7EA7411B"/>
    <w:rsid w:val="7EA874D5"/>
    <w:rsid w:val="7EAA0221"/>
    <w:rsid w:val="7EB02A3C"/>
    <w:rsid w:val="7EB714C1"/>
    <w:rsid w:val="7EB81375"/>
    <w:rsid w:val="7EC92354"/>
    <w:rsid w:val="7ED326C7"/>
    <w:rsid w:val="7EF43758"/>
    <w:rsid w:val="7F0A6F2E"/>
    <w:rsid w:val="7F1E459D"/>
    <w:rsid w:val="7F21551C"/>
    <w:rsid w:val="7F251450"/>
    <w:rsid w:val="7F381A47"/>
    <w:rsid w:val="7F3932D6"/>
    <w:rsid w:val="7F3B3199"/>
    <w:rsid w:val="7F3D07F6"/>
    <w:rsid w:val="7F4D23DA"/>
    <w:rsid w:val="7F613C7E"/>
    <w:rsid w:val="7F726624"/>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character" w:customStyle="1" w:styleId="84">
    <w:name w:val="WW8Num1z0"/>
    <w:qFormat/>
    <w:uiPriority w:val="0"/>
  </w:style>
  <w:style w:type="character" w:customStyle="1" w:styleId="85">
    <w:name w:val="ui-provide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3</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2024-11-08T09:06:31Z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